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BECÁNICS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Szemesi</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appearance of human rights during the deprivation of personal liberty, with special regard to the Hungarian related decisions of the European Court of Human Rights and the experiences of the prosecutorial control</w:t>
      </w:r>
    </w:p>
    <w:p w:rsidR="00D71DF5" w:rsidRDefault="00D71DF5" w:rsidP="00AD2602">
      <w:pPr>
        <w:jc w:val="both"/>
      </w:pPr>
    </w:p>
    <w:p>
      <w:pPr>
        <w:pBdr/>
        <w:spacing w:before="240" w:after="240" w:line="240" w:lineRule="auto"/>
        <w:ind w:left="0" w:right="0"/>
        <w:jc w:val="left"/>
      </w:pPr>
      <w:r>
        <w:rPr>
          <w:color w:val="000000"/>
          <w:sz w:val="24"/>
          <w:szCs w:val="24"/>
        </w:rPr>
        <w:t xml:space="preserve">The treatment of convicts held in detention is an important measure of value of that, how the state respects fundamental human rights. Thus, it must be concluded, that according to the court's final judgements convicted people committed a crime, but their penalty is the deprivation of personal freedom/liberty, and no other conditions violating human dignity shall appear. Nowadays it is generally accepted in Europe, that domestic law guarantees appropriate treatment of convicts, though from time to time the possibility of the violation of prisoners' human dignity occurs in some states (either in particular cases, or in mass). It is not a coincidence, that in addition to domestic law several international conventions, and based on these the practise of international judicial and other bodies (including the European Court of Human Rights and the European Committee for the Prevention of Torture and Inhuman or Degrading Treatment or Punishment) is extremely important in this topic.</w:t>
      </w:r>
    </w:p>
    <w:p>
      <w:pPr>
        <w:pBdr/>
        <w:spacing w:before="240" w:after="240" w:line="240" w:lineRule="auto"/>
        <w:ind w:left="0" w:right="0"/>
        <w:jc w:val="left"/>
      </w:pPr>
      <w:r>
        <w:rPr>
          <w:color w:val="000000"/>
          <w:sz w:val="24"/>
          <w:szCs w:val="24"/>
        </w:rPr>
        <w:t xml:space="preserve">Considering, that the national prosecutorial body is responsible for the continuous examination of convicts' legal situation primarily, and only a small percent of cases goes to an international forum (but even in front of national courts there is only a few judgements favourable to convicts). Thus in my study I present the legal situation of convicts based on the prosecutorial legal supervision.</w:t>
      </w:r>
    </w:p>
    <w:p>
      <w:pPr>
        <w:pBdr/>
        <w:spacing w:before="240" w:after="240" w:line="240" w:lineRule="auto"/>
        <w:ind w:left="0" w:right="0"/>
        <w:jc w:val="left"/>
      </w:pPr>
      <w:r>
        <w:rPr>
          <w:color w:val="000000"/>
          <w:sz w:val="24"/>
          <w:szCs w:val="24"/>
        </w:rPr>
        <w:t xml:space="preserve">Regarding to the wide nature of the topic and length limits, I would not like to deal with the legal situation of people being in pre-trial and in immigration detention in detail. I chose the presentation of the practise of Hungarian penal institutions as the primary objective of my study, that is why I present Hungarian related cases of the European Court of Human Rights in detail, while cases against other countries only as references.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38542">
    <w:multiLevelType w:val="hybridMultilevel"/>
    <w:lvl w:ilvl="0" w:tplc="60144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38542">
    <w:abstractNumId w:val="19938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156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