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BECÁNICS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Szemesi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of human rights during the deprivation of personal liberty, with special regard to the Hungarian related decisions of the European Court of Human Rights and the experiences of the prosecutorial control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treatment of convicts held in detention is an important measure of value of that, how the state respects fundamental human rights. Thus, it must be concluded, that according to the court's final judgements convicted people committed a crime, but their penalty is the deprivation of personal freedom/liberty, and no other conditions violating human dignity shall appear. Nowadays it is generally accepted in Europe, that domestic law guarantees appropriate treatment of convicts, though from time to time the possibility of the violation of prisoners' human dignity occurs in some states (either in particular cases, or in mass). It is not a coincidence, that in addition to domestic law several international conventions, and based on these the practise of international judicial and other bodies (including the European Court of Human Rights and the European Committee for the Prevention of Torture and Inhuman or Degrading Treatment or Punishment) is extremely important in this topic.</w:t>
      </w:r>
    </w:p>
    <w:p>
      <w:pPr>
        <w:pBdr/>
        <w:spacing w:before="240" w:after="240" w:line="240" w:lineRule="auto"/>
        <w:ind w:left="0" w:right="0"/>
        <w:jc w:val="left"/>
      </w:pPr>
      <w:r>
        <w:rPr>
          <w:color w:val="000000"/>
          <w:sz w:val="24"/>
          <w:szCs w:val="24"/>
        </w:rPr>
        <w:t xml:space="preserve">Considering, that the national prosecutorial body is responsible for the continuous examination of convicts' legal situation primarily, and only a small percent of cases goes to an international forum (but even in front of national courts there is only a few judgements favourable to convicts). Thus in my study I present the legal situation of convicts based on the prosecutorial legal supervision.</w:t>
      </w:r>
    </w:p>
    <w:p>
      <w:pPr>
        <w:pBdr/>
        <w:spacing w:before="240" w:after="240" w:line="240" w:lineRule="auto"/>
        <w:ind w:left="0" w:right="0"/>
        <w:jc w:val="left"/>
      </w:pPr>
      <w:r>
        <w:rPr>
          <w:color w:val="000000"/>
          <w:sz w:val="24"/>
          <w:szCs w:val="24"/>
        </w:rPr>
        <w:t xml:space="preserve">Regarding to the wide nature of the topic and length limits, I would not like to deal with the legal situation of people being in pre-trial and in immigration detention in detail. I chose the presentation of the practise of Hungarian penal institutions as the primary objective of my study, that is why I present Hungarian related cases of the European Court of Human Rights in detail, while cases against other countries only as references.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12040">
    <w:multiLevelType w:val="hybridMultilevel"/>
    <w:lvl w:ilvl="0" w:tplc="23755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12040">
    <w:abstractNumId w:val="65912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322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