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PAPP</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Szemesi</w:t>
            </w:r>
          </w:p>
          <w:p w:rsidR="00DB4822" w:rsidRDefault="00DB4822" w:rsidP="00E11062">
            <w:pPr>
              <w:pStyle w:val="Konzulensek"/>
            </w:pPr>
            <w:r w:rsidRPr="00DB4822">
              <w:t>associate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Legal Status of the Head of State in International Law – through the Example of the Sólyom Case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President of Hungary, László Sólyom intended to travel to a Slovakian city, Révkomárom on 21 August 2009 to an invitation by a civil organization seated in Slovakia, but Slovakia prohibited the entry of the head of state to its territory by referring to a legal rule of the European Union. Thus Hungary initiated an infringement procedure before the European Court of Justice, but the Court dismissed the Hungarian claim. The litigation was based on the fact, that László Sólyom, the President of Hungary wanted to cross the border not only as an official, but as an EU citizen, as well.</w:t>
      </w:r>
    </w:p>
    <w:p>
      <w:pPr>
        <w:pBdr/>
        <w:spacing w:before="240" w:after="240" w:line="240" w:lineRule="auto"/>
        <w:ind w:left="0" w:right="0"/>
        <w:jc w:val="left"/>
      </w:pPr>
      <w:r>
        <w:rPr>
          <w:color w:val="000000"/>
          <w:sz w:val="24"/>
          <w:szCs w:val="24"/>
        </w:rPr>
        <w:t xml:space="preserve">The visits of presidents even within the European Union belongs to the diplomatic relations, which can be seemed as the sovereign competence of the member states, however these states are obliged to apply the regulations of international law. Therefore the condition of that an EU citizen becomes a head of state, may prove the restriction of the freedom of movement by international law. European Union law shall be interpreted having regard to the relevant rules of international law, because international law is part of the Union law, thus binding on the European institutions.</w:t>
      </w:r>
    </w:p>
    <w:p>
      <w:pPr>
        <w:pBdr/>
        <w:spacing w:before="240" w:after="240" w:line="240" w:lineRule="auto"/>
        <w:ind w:left="0" w:right="0"/>
        <w:jc w:val="left"/>
      </w:pPr>
      <w:r>
        <w:rPr>
          <w:color w:val="000000"/>
          <w:sz w:val="24"/>
          <w:szCs w:val="24"/>
        </w:rPr>
        <w:t xml:space="preserve">The legal status of the head of state has a specific nature based on the provisions of international law, especially the law of diplomatic relations. This specialty makes a head of state different from all other EU citizens; in other words, the entry of this person to the territory of another member state has different conditions from the ones regulating the entering of other EU citizens'.</w:t>
      </w:r>
    </w:p>
    <w:p>
      <w:pPr>
        <w:pBdr/>
        <w:spacing w:before="240" w:after="240" w:line="240" w:lineRule="auto"/>
        <w:ind w:left="0" w:right="0"/>
        <w:jc w:val="left"/>
      </w:pPr>
      <w:r>
        <w:rPr>
          <w:color w:val="000000"/>
          <w:sz w:val="24"/>
          <w:szCs w:val="24"/>
        </w:rPr>
        <w:t xml:space="preserve">In my study I present that relevant regulation is incomplete, because there is no international treaty, that would generally define the international legal status of head of states, thus neither the entry of head of states to the territory of other member states.</w:t>
      </w:r>
    </w:p>
    <w:p>
      <w:pPr>
        <w:pBdr/>
        <w:spacing w:before="240" w:after="240" w:line="240" w:lineRule="auto"/>
        <w:ind w:left="0" w:right="0"/>
        <w:jc w:val="left"/>
      </w:pPr>
      <w:r>
        <w:rPr>
          <w:color w:val="000000"/>
          <w:sz w:val="24"/>
          <w:szCs w:val="24"/>
        </w:rPr>
        <w:t xml:space="preserve">In this context in accordance with the Sólyom case firstly I deal with the relationship between EU law and international law, as well as the international regulation applicable to the head of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933152">
    <w:multiLevelType w:val="hybridMultilevel"/>
    <w:lvl w:ilvl="0" w:tplc="13535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933152">
    <w:abstractNumId w:val="219331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0665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