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ANETT BÁNKUTI</w:t>
            </w:r>
          </w:p>
          <w:p w:rsidR="00C275A3" w:rsidRDefault="00A96AEC" w:rsidP="00C275A3">
            <w:pPr>
              <w:pStyle w:val="Hallgatokepzes"/>
            </w:pPr>
            <w:r>
              <w:t>Business Economics and Management</w:t>
            </w:r>
            <w:r>
              <w:br/>
            </w:r>
            <w:r w:rsidR="00E77B23">
              <w:t>BA, 3. semester</w:t>
            </w:r>
          </w:p>
          <w:p w:rsidR="00C265CE" w:rsidRPr="009E5FF1" w:rsidRDefault="00E77B23" w:rsidP="00C275A3">
            <w:pPr>
              <w:pStyle w:val="Hallgatokepzes"/>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Zoltan Andras Daniel</w:t>
            </w:r>
          </w:p>
          <w:p w:rsidR="00DB4822" w:rsidRDefault="00DB4822" w:rsidP="00E11062">
            <w:pPr>
              <w:pStyle w:val="Konzulensek"/>
            </w:pPr>
            <w:r w:rsidRPr="00DB4822">
              <w:t>  research worker,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With CSR for the society and the environment – references to the micro-, small- and medium companies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Corporate Social Responsibility is one of today’s most frequently used business phrase. By integrating it into the daily operation, the company – voluntarily and in agreement with the stakeholders - takes the social and environmental aspects of the business also into consideration. After presenting the historical and theoretical framework of the CSR, the study focuses on the CSR roles of small and medium enterprises. Even the European Union has realized the important role of SMEs – due to their role and activity in economy - in the field of sustaining and protecting our environment and society. The study explores the Hungarian SMEs on sub-regional level, focusing on how they can support the inhabitants in solving social and environmental problems. By using CSR related statistical indicators I have defined five groups of sub-regions with different stages of development. I made different recommendations to the sub-region groups according to their economical, social and environmental attributes. Taking these recommendations into considerations the SMEs can form a CSR activity that adjusts better to the related sub-regions. This partly can help SMEs to operate more effectively, to build better competitive advantages, and on the other hand by taking my recommendations into consideration they can make significant progress towards sustainable development.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119555">
    <w:multiLevelType w:val="hybridMultilevel"/>
    <w:lvl w:ilvl="0" w:tplc="605461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119555">
    <w:abstractNumId w:val="171195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35265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