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TAMÁS</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Nádas György PhD</w:t>
            </w:r>
          </w:p>
          <w:p w:rsidR="00DB4822" w:rsidRDefault="00DB4822" w:rsidP="00E11062">
            <w:pPr>
              <w:pStyle w:val="Konzulensek"/>
            </w:pPr>
            <w:r w:rsidRPr="00DB4822">
              <w:t>egyetemi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közszolgálati jogviszony megszűnésének és megszüntetésének esetei, különös tekintettel a Kttv. szabályaira</w:t>
      </w:r>
    </w:p>
    <w:p w:rsidR="00D71DF5" w:rsidRDefault="00D71DF5" w:rsidP="00AD2602">
      <w:pPr>
        <w:jc w:val="both"/>
      </w:pPr>
    </w:p>
    <w:p>
      <w:pPr>
        <w:pBdr/>
        <w:spacing w:before="240" w:after="240" w:line="240" w:lineRule="auto"/>
        <w:ind w:left="0" w:right="0"/>
        <w:jc w:val="left"/>
      </w:pPr>
      <w:r>
        <w:rPr>
          <w:color w:val="000000"/>
          <w:sz w:val="24"/>
          <w:szCs w:val="24"/>
        </w:rPr>
        <w:t xml:space="preserve">Tudományos munkámban a közszolgálati jogviszony megszűnését és megszüntetését kívánom áttekinteni, ezért a dolgozat elején elhatárolom a gazdasági szektor és az állami szféra munkajogát, továbbá meghatározom a közszolgálati jogviszony önálló szabályozásának értelmét, ill. indokait, vázolom a tisztségviselők közötti differenciát és a rájuk vonatkozó szabályozást.</w:t>
      </w:r>
      <w:r>
        <w:rPr>
          <w:color w:val="000000"/>
          <w:sz w:val="24"/>
          <w:szCs w:val="24"/>
        </w:rPr>
        <w:br/>
        <w:t xml:space="preserve">A témaválasztás indoka, hogy a közszolgálati jogviszony megszűnésével és megszüntetésével kapcsolatos szabályozás, ill. a szabályozáshoz kapcsolódó gyakorlat véleményem szerint sok tekintetben megcáfolja a kiszámítható, konzisztens közszolgálati életpályához fűződő elképzeléseket, és ellentmond a köztisztviselői életpálya biztonságába vetett hitnek. Ezért a vizsgálódásokat az egyes intézmények esetén igyekszem ezekre a kollíziókra kiélezni, illetve rávilágítani arra, hogy az életpálya stabilitása a közszférában is gyakran meginoghat. Törekszem az egyes szabályozási egységekben fellelhető jogdogmatikai problémák szemléltetésére, ill. az új közszolgálati törvényben található koherencia zavarok feltárására.</w:t>
      </w:r>
      <w:r>
        <w:rPr>
          <w:color w:val="000000"/>
          <w:sz w:val="24"/>
          <w:szCs w:val="24"/>
        </w:rPr>
        <w:br/>
        <w:t xml:space="preserve">A tanulmányban a tisztviselői törvény által konstruált rendszert veszem alapul az egyes szerkezeti egységek kialakításához, azonban helyenként a jogszabály felépítésétől eltérő vázlatpontok is megtalálhatóak, különösen ahol az Alkotmánybíróság jelentős határozatai is szükségesek voltak a szabályozás okán kialakult helyzet rendezéséhez.</w:t>
      </w:r>
      <w:r>
        <w:rPr>
          <w:color w:val="000000"/>
          <w:sz w:val="24"/>
          <w:szCs w:val="24"/>
        </w:rPr>
        <w:br/>
        <w:t xml:space="preserve">Vizsgálódásom során törekedtem arra, hogy az értekezés ne váljon egysíkúvá az által, hogy sorozatosan a jogalkotót, ill. a munkáltatói túlkapásokat lehetővé tévő szabályokat bírálom, ezért ahol a kutatás során kialakult véleményem engedte, a munkáltatói oldal védelmére törekedtem.</w:t>
      </w:r>
      <w:r>
        <w:rPr>
          <w:color w:val="000000"/>
          <w:sz w:val="24"/>
          <w:szCs w:val="24"/>
        </w:rPr>
        <w:br/>
        <w:t xml:space="preserve">Úgy gondolom, hogy a dolgozat megírása érdekében folytatott kutatómunkám eredményeként a közszolgálati tisztviselői jogviszony megszűnésének és megszüntetésének módozatairól komplex képet kaptam és abban bízom, hogy ezt sikerült az olvasó számára is jól átláthatóan és következetesen átadnom. És ennek hatására az olvasó is azonosulni tud a tanulmány végső következtetésével, hogy a tisztviselői életpályához kapcsolódó egzisztenciális biztonságot maradéktalanul biztosító szabályok helyett, a jelenlegi szabályozás és a hozzá kapcsolódó gyakorlat inkább a rugalmas közszolgálati munkaerő gazdálkodást igyekszik megvalósítani.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05575">
    <w:multiLevelType w:val="hybridMultilevel"/>
    <w:lvl w:ilvl="0" w:tplc="27217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05575">
    <w:abstractNumId w:val="61205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30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