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GÁL</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Nádas PhD</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Cases of the cessation and termination of legal relationship of public service, particularly regarding the regulations of Kttv.</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would like to survey the cessation and the termination of the contractual relationship of public service, so at the begining of my dissertation I differentiate the labour law of public sector and economic sphere; furthermore I define the purposes and the reasons of the independent regulation of public sercive legislation. I am going to delineate the differences between officers and the regulation applied on them.</w:t>
      </w:r>
      <w:r>
        <w:rPr>
          <w:color w:val="000000"/>
          <w:sz w:val="24"/>
          <w:szCs w:val="24"/>
        </w:rPr>
        <w:br/>
        <w:t xml:space="preserve">The reason why I chose this subject is that in my opinion, the regulation concerning the cessation and the termination of public service and the practice attached to the regulation disprove the notion of a predictable and consistent career in the public service and contradict the faith in the security of a public service career. I try to accentuate these collisions in the disquisition concerning certain institutions. I try to exemplify the legal dogmatics issues occuring in certain units and also attempt to reveal the interferences in coherence in the new public service law.</w:t>
      </w:r>
      <w:r>
        <w:rPr>
          <w:color w:val="000000"/>
          <w:sz w:val="24"/>
          <w:szCs w:val="24"/>
        </w:rPr>
        <w:br/>
        <w:t xml:space="preserve">The structural units of the study are based on the system constructed by the officer law, but in some places several draft points can be found which are disparete from the legal structure. These points are particularly about things where significant decree was needed of the Constitutional Court to regularize the situation created by the regulation.</w:t>
      </w:r>
      <w:r>
        <w:rPr>
          <w:color w:val="000000"/>
          <w:sz w:val="24"/>
          <w:szCs w:val="24"/>
        </w:rPr>
        <w:br/>
        <w:t xml:space="preserve">During my disquisition I tried to avoid becoming one-sided by criticizing the legislature and the regulations enabling employer abuse, so during my research I tried to protect and represent the side of employers where my point of view allowed it.</w:t>
      </w:r>
      <w:r>
        <w:rPr>
          <w:color w:val="000000"/>
          <w:sz w:val="24"/>
          <w:szCs w:val="24"/>
        </w:rPr>
        <w:br/>
        <w:t xml:space="preserve">As far as I am concerned, I achieved to obtain a comprehensive image of the method of the cessation and termination of contractual relationship of public service officers as a result of the research made in order to write my study. I hope that I could hand it over to the reader successfully and consistently and this way the reader can also identify him/herself with the final conclusion of the study which is about the fact that the current legislation and the practise attached to it rather try to accomplish the management of flexible officer workforce instead of executing regulations granting existental security completely regarding public service career.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13529">
    <w:multiLevelType w:val="hybridMultilevel"/>
    <w:lvl w:ilvl="0" w:tplc="38906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13529">
    <w:abstractNumId w:val="25213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611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