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VIDA GABRIELLA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Nádas György PhD</w:t>
            </w:r>
          </w:p>
          <w:p w:rsidR="00DB4822" w:rsidRDefault="00DB4822" w:rsidP="00E11062">
            <w:pPr>
              <w:pStyle w:val="Konzulensek"/>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érvénytelenség jogintézményének változásai az új munka törvénykönyvében - összehasonlítva a Ptk. szabályaival</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megírására a téma aktualitása adott okot számomra, mely aktualitást az új munkajogi kódex hatályba lépése jelenti. Ahhoz, hogy megfelelő alapokon álljon a dolgozat, előbb a munkajog és a polgári jog elhatárolására került sor, majd pedig egészen a római jogig visszanyúlva az érvénytelenség jogintézményét mutattam be.</w:t>
      </w:r>
    </w:p>
    <w:p>
      <w:pPr>
        <w:pBdr/>
        <w:spacing w:before="240" w:after="240" w:line="240" w:lineRule="auto"/>
        <w:ind w:left="0" w:right="0"/>
        <w:jc w:val="left"/>
      </w:pPr>
      <w:r>
        <w:rPr>
          <w:color w:val="000000"/>
          <w:sz w:val="24"/>
          <w:szCs w:val="24"/>
        </w:rPr>
        <w:t xml:space="preserve">Az új munka törvénykönyvének érvénytelenségre vonatkozó szabályai immár számos hasonlóságot mutatnak a polgári jog szabályaival, közelítve ezzel egymáshoz a két jogágat. Ilyen kapcsolat korábban nem igazán volt jellemző a munkajog és a polgári jog között, az új kódex azonban nagyon helyesen létrehozza ezt a kapcsolatot. Ennek a vizsgálata, a hasonlóságok és a különbségek feltárása volt elsődleges célom a dolgozat megírásával. E klasszikusnak mondható téma feldolgozása során átfogó, átlátható, megfelelő szakirodalmi bázison alapuló bemutatásra törekedtem.</w:t>
      </w:r>
    </w:p>
    <w:p>
      <w:pPr>
        <w:pBdr/>
        <w:spacing w:before="240" w:after="240" w:line="240" w:lineRule="auto"/>
        <w:ind w:left="0" w:right="0"/>
        <w:jc w:val="left"/>
      </w:pPr>
      <w:r>
        <w:rPr>
          <w:color w:val="000000"/>
          <w:sz w:val="24"/>
          <w:szCs w:val="24"/>
        </w:rPr>
        <w:t xml:space="preserve">Az érvénytelenség jogintézményének bemutatása akár egy jogág szabályait vizsgálva is meglehetősen összetett feladat, két jogág szabályainak összehasonlító vizsgálata pedig talán még ennél is összetettebb, hiszen meg kell tudni találni és meg is kell tudni tartani azt az „egyensúlyt”, hogy az összehasonlítás során végig a munkajog szabályai maradjanak előtérben, ugyanis a dolgozat megírásának célja elsődlegesen a munkajogi szabályok vizsgálata. Ennek betartásával elemzem az egyes érvénytelenségi okokat, illetve az érvénytelenség jogkövetkezményeit, valamint számos ehhez kapcsolódó kérdést. Ilyen kérdés számomra például, hogy miért nem alkotott külön szabályt a jogalkotó az álképviseletnek a munkajogban előforduló esetkörére? Ennek lehetősége azzal, hogy immár lehetőség van képviselő útján nyilatkozatot megtenni, adottá válik a munkajogban is. Szintén érdekes kérdés volt számomra, hogy a munkaszerződésnek helye lehet-e az új Polgári Törvénykönyvben? Erre a kérdésre a dolgozatban is igyekszem megadni az álláspontom szerint megfelelő választ. A dolgozat végére nyilvánvalóvá válhat az olvasó számára a munkajogi és a polgári jogi érvénytelenségi szabályok egymáshoz való viszonya, és ez által a munkajog és a polgári jog új alapokra helyezett kapcsolata. A záró gondolatokban nyitva hagyott kérdések ugyan további vizsgálatot alapoznak meg, az azonban már az érvénytelenség komplex rendszeréből egyes kérdések kiragadásának vizsgálatát vetítené előre, ez azonban jelen dolgozat keretei között nem célom.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34527">
    <w:multiLevelType w:val="hybridMultilevel"/>
    <w:lvl w:ilvl="0" w:tplc="98097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34527">
    <w:abstractNumId w:val="80234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905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