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VIDA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Nadas </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the legal institutions of invalidity in the new labor code-compared with the rules of Civil Code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wrote in my paper about the actuality of this subject, which is the new labor code’s entering into force. First of all I will seal off labor law and civil law and after this I will go back to Roman law to present the legal institutions of invalidity.</w:t>
      </w:r>
    </w:p>
    <w:p>
      <w:pPr>
        <w:pBdr/>
        <w:spacing w:before="240" w:after="240" w:line="240" w:lineRule="auto"/>
        <w:ind w:left="0" w:right="0"/>
        <w:jc w:val="left"/>
      </w:pPr>
      <w:r>
        <w:rPr>
          <w:color w:val="000000"/>
          <w:sz w:val="24"/>
          <w:szCs w:val="24"/>
        </w:rPr>
        <w:t xml:space="preserve">Now there are several similarities between the rules of invalidity, civil and labor law. The connection of the two branches of law is closer now, earlier this wasn’t so characteristic but the new labor code established this connection, which is commendable.</w:t>
      </w:r>
    </w:p>
    <w:p>
      <w:pPr>
        <w:pBdr/>
        <w:spacing w:before="240" w:after="240" w:line="240" w:lineRule="auto"/>
        <w:ind w:left="0" w:right="0"/>
        <w:jc w:val="left"/>
      </w:pPr>
      <w:r>
        <w:rPr>
          <w:color w:val="000000"/>
          <w:sz w:val="24"/>
          <w:szCs w:val="24"/>
        </w:rPr>
        <w:t xml:space="preserve">The first aim of my paper was to present the differences and similarities. I used several legal bibliographies.</w:t>
      </w:r>
    </w:p>
    <w:p>
      <w:pPr>
        <w:pBdr/>
        <w:spacing w:before="240" w:after="240" w:line="240" w:lineRule="auto"/>
        <w:ind w:left="0" w:right="0"/>
        <w:jc w:val="left"/>
      </w:pPr>
      <w:r>
        <w:rPr>
          <w:color w:val="000000"/>
          <w:sz w:val="24"/>
          <w:szCs w:val="24"/>
        </w:rPr>
        <w:t xml:space="preserve">To present the legal institutions of invalidity is a complex project if we examine only one branch of law. It is more complex to examine two branches of law. It must find and keep the „balance” during the examination: labor law has to be in the foreground as this is the aim of my paper.</w:t>
      </w:r>
    </w:p>
    <w:p>
      <w:pPr>
        <w:pBdr/>
        <w:spacing w:before="240" w:after="240" w:line="240" w:lineRule="auto"/>
        <w:ind w:left="0" w:right="0"/>
        <w:jc w:val="left"/>
      </w:pPr>
      <w:r>
        <w:rPr>
          <w:color w:val="000000"/>
          <w:sz w:val="24"/>
          <w:szCs w:val="24"/>
        </w:rPr>
        <w:t xml:space="preserve">Considering this I analysed the reasons of invalidity and I will present the legal consequence of invalidity in labor law and civil law. I will examine some other questions. One of these is the misrepresentation in labor law. What could be the reason of invalidity, according to the effective labor code it is possible to take a statement by a representative.</w:t>
      </w:r>
    </w:p>
    <w:p>
      <w:pPr>
        <w:pBdr/>
        <w:spacing w:before="240" w:after="240" w:line="240" w:lineRule="auto"/>
        <w:ind w:left="0" w:right="0"/>
        <w:jc w:val="left"/>
      </w:pPr>
      <w:r>
        <w:rPr>
          <w:color w:val="000000"/>
          <w:sz w:val="24"/>
          <w:szCs w:val="24"/>
        </w:rPr>
        <w:t xml:space="preserve">Another interesting question was for me what the place of employment contract in the new Civil Code is. I’m trying to give the perfect answer to this question but it is just my answer and it can be disputed.</w:t>
      </w:r>
    </w:p>
    <w:p>
      <w:pPr>
        <w:pBdr/>
        <w:spacing w:before="240" w:after="240" w:line="240" w:lineRule="auto"/>
        <w:ind w:left="0" w:right="0"/>
        <w:jc w:val="left"/>
      </w:pPr>
      <w:r>
        <w:rPr>
          <w:color w:val="000000"/>
          <w:sz w:val="24"/>
          <w:szCs w:val="24"/>
        </w:rPr>
        <w:t xml:space="preserve">At the end of my paper it will be obvious for the reader what the connection of the two branches of law is, which will put the connection between the two branches of law on a new base.</w:t>
      </w:r>
    </w:p>
    <w:p>
      <w:pPr>
        <w:pBdr/>
        <w:spacing w:before="240" w:after="240" w:line="240" w:lineRule="auto"/>
        <w:ind w:left="0" w:right="0"/>
        <w:jc w:val="left"/>
      </w:pPr>
      <w:r>
        <w:rPr>
          <w:color w:val="000000"/>
          <w:sz w:val="24"/>
          <w:szCs w:val="24"/>
        </w:rPr>
        <w:t xml:space="preserve">There are left open questions on final thoughts which could be the basis for other examinations but these are just questions of the complex system of invalidity, it is not my int he framework of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51220">
    <w:multiLevelType w:val="hybridMultilevel"/>
    <w:lvl w:ilvl="0" w:tplc="10284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51220">
    <w:abstractNumId w:val="92051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106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