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TARKÓ IZABEL ÁGNES</w:t>
            </w:r>
          </w:p>
          <w:p w:rsidR="00C275A3" w:rsidRDefault="00A96AEC" w:rsidP="00C275A3">
            <w:pPr>
              <w:pStyle w:val="Hallgatokepzes"/>
            </w:pPr>
            <w:r>
              <w:t>Állam- és Jogtudományi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Fézer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Helytállás és felelősség a fizetésképtelen gazdasági társaságok tartozásaiért a magyar társasági jogban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bemutassa és vizsgálja az elmúlt tíz év csődjogában bekövetkezett jogszabályváltozások tanulmányozása alapján, hogy milyen jogi megoldások állnak rendelkezésre a fizetésképtelenné vált gazdasági társaság és hitelezőik helyzetének rendezésére. Főként arra fókuszálunk, hogy milyen felelősségi szabályok érvényesülnek a hitelezői követelések kielégítésére és melyek a hitelezők számára biztosított törvényes igényérvényesítési lehetőségek a fizetésképtelenségi eljárások lezártát követően, amennyiben annak eredményessége bizonytalannak mutatkozik. A probléma teljeskörű feltárása érdekében a tanulmány vizsgálja, hogy a gazdasági mindennapokat átszövő fizetésképtelenségre vonatkozó szabályozásnak melyek a hiányosságai (amennyiben vannak), ellentmondásai, a jövőbeni jogalkotásra vonatkozó javaslatok közlésének igényével.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 gazdasági recessziójának nagy ellentmondása, hogy miközben évente egyre több cég tűnik el a piacról, a működő vállalkozások száma rekordszintre emelkedett. Ennek oka, hogy jelenleg olcsón és viszonylag gyorsan lehet céget alapítani, mivel a Cstv. és a Gt. szabályanyaga jelentős liberalizáláson esett át az elmúlt években. A közelmúltban végrehajtott törvénymódosítások ennek a folyamatnak kívántak és kívánnak ma is gátat szabni. A Cstv.-ben szigorodtak a tartozásokért fennálló felelősség, a helytállás szabályai, melynek makrogazdasági okai vannak. A makrogazdasági szempontok azt diktálják, hogy minél több gazdasági táraságot alapítsanak, hiszen a cél a verseny fenntartása a gazdasági válság eredményezte körülmények ellenére is (vita tárgya).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vizsgálódás során az volt a kiindulópont, hogy a fizetésképtelenség és az ahhoz szorosan kapcsolódó felelősség legalább annyira közgazdasági, mint jogi kérdés, ezért fontos, hogy a nemzeti gazdaságpolitika mire helyezi a hangsúlyt, milyen prioritásokat jelöl meg a jogszabályi keretek kialakításához. A csődjog olyan jogterület, melyet sokkal összetettebb érdekek motiválnak, mint a jogi gondolkodás megnyilvánulása. A csődjog szoros kapcsolatban áll a mindenkori gazdasági viszonyokkal. Az elkövetkezendő években jelentős gazdaságpolitikai fordulatok várhatóak, amellyel együtt jár a csődjog szabályanyagának reformja, amely kétségtelenül elkerülhetetlen, de még kérdéses, hogy milyen szempontokat fog prioritásként kezelni a jogalkotó egy lehetséges kodifikáció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55115">
    <w:multiLevelType w:val="hybridMultilevel"/>
    <w:lvl w:ilvl="0" w:tplc="216414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55115">
    <w:abstractNumId w:val="58555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102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