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 ÁGNES TARKÓ</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Fézer</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Responsibility and Liability for the Debts of the Insolvent Companies in the Hungarian Corporate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thesis is to present and examine possible legal theories that are able to handle the situation of the insolvent company and their creditors taking into consideration of the changes in the law of bankruptcy proceedings in Hungary in last ten years. We mainly focus on how liability rules apply and satisfy the creditors' claims and what are their options to get their demands after the conclusion of the insolvency proceedings, if their claims did not get satisfaction. In order to fully discover the scope of this problem, the thesis examines what deficiencies (if any), contradictions and potential future legislative proposals exist, taking into consideration insolvency legislation that seems to be a crucial problem in today’s economy.</w:t>
      </w:r>
    </w:p>
    <w:p>
      <w:pPr>
        <w:widowControl w:val="on"/>
        <w:pBdr/>
        <w:spacing w:before="240" w:after="240" w:line="240" w:lineRule="auto"/>
        <w:ind w:left="0" w:right="0"/>
        <w:jc w:val="left"/>
      </w:pPr>
      <w:r>
        <w:rPr>
          <w:color w:val="000000"/>
          <w:sz w:val="24"/>
          <w:szCs w:val="24"/>
        </w:rPr>
        <w:t xml:space="preserve">It is a controversial issue in this recent economic recession that year by year more and more companies disappear from the market, while at the same time, the number of operating businesses is rising to a record level never seen before. The reason of this situation is that these days it is relatively cheap and quick to form a company, because the rules of Act IL of 1991 and Act IV of 2006 went through significant liberalization in the past. The series of the recently implemented legislative changes wanted and still wants to prevent this process. The rules of liability for the company’s debts got stricter, which has significant macro-economic reasons. The macro-economic factors dictate the formation of more and more business associations; the goal is to maintain the competitive position even among these hefty conditions resulted by the recent economic crisis (subject of debate).</w:t>
      </w:r>
    </w:p>
    <w:p>
      <w:pPr>
        <w:widowControl w:val="on"/>
        <w:pBdr/>
        <w:spacing w:before="240" w:after="240" w:line="240" w:lineRule="auto"/>
        <w:ind w:left="0" w:right="0"/>
        <w:jc w:val="left"/>
      </w:pPr>
      <w:r>
        <w:rPr>
          <w:color w:val="000000"/>
          <w:sz w:val="24"/>
          <w:szCs w:val="24"/>
        </w:rPr>
        <w:t xml:space="preserve">During the analysis the starting point was that insolvency and the closely-related liability are as much economic issues as legal ones, so these factors have an important role in the national economic policy; what questions this policy place in the center and what qualify as priorities when setting up an appropriate regulatory framework for such processes. Actually, bankruptcy law is motivated by more complex interests than just simple manifestations of legal theories. Bankruptcy law is closely related to the current economic conditions. The upcoming years might bring substantial economic turning points that would be inevitably associated with the reform of bankruptcy rules; it is still a question, which criteria will be a priority for the legislator in a future codification.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54204">
    <w:multiLevelType w:val="hybridMultilevel"/>
    <w:lvl w:ilvl="0" w:tplc="24847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54204">
    <w:abstractNumId w:val="32354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626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