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TOMASOVSZKY EDIT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Csécsy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követő jog alapproblémai, szabályozási kérdései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szerzői jog egyik speciális jogintézményével, a követő joggal (droit de suite) foglalkozik, annak alapproblémáit, szabályozási kérdéseit vizsgálja. Arra keres választ, hogy a követő jog jelenlegi szabályozása Európában alkalmas-e a jogintézmény céljainak betöltésére: a művészi érdekek védelmére és a belső piaci torzulások elkerülésére. A jogintézménynek a szerzői jogi ágazaton belüli gazdasági súlya is indokolja a téma fontosságát, aktualitását.</w:t>
      </w:r>
      <w:r>
        <w:rPr>
          <w:color w:val="000000"/>
          <w:sz w:val="24"/>
          <w:szCs w:val="24"/>
        </w:rPr>
        <w:br/>
        <w:t xml:space="preserve">A droit de suite fejlődéstörténetének, céljainak, dogmatikai alapjainak bemutatását követően a jogintézmény fogalmi elemeinek összehasonlító, elemző módszerrel történő meghatározása a dolgozat központi részét képezi. E fejezet a 2001/84/EK Irányelv rendelkezéseitől kiindulva ismerteti a magyar szabályozást, majd kitekintést tesz a francia és a német jog vonatkozó szabályaiba, amikor azokban valamilyen releváns eltérés, jogi sajátosság tapasztalható az irányelvi vagy a magyar szabályozáshoz képest. Egy önálló fejezetben az angolszász államok szabályozási kérdései és a követő joggal kapcsolatos dilemmái kerültek kifejtésre. Az utolsó érdemi rész nemzetközi magánjogi aspektusból közelíti meg a követő jogi problémákat, keresve a művész szempontjából és jogi szempontból is a legmegfelelőbb kapcsolóelvet.</w:t>
      </w:r>
      <w:r>
        <w:rPr>
          <w:color w:val="000000"/>
          <w:sz w:val="24"/>
          <w:szCs w:val="24"/>
        </w:rPr>
        <w:br/>
        <w:t xml:space="preserve">A dolgozat végén levont konklúziók nem alkotnak egyértelműen pozitív képet a követő jog jelenlegi helyzetéről. A stabil bírói gyakorlat hiánya, a követő jogot nem alkalmazó országok egyre nagyobb térnyerése a nemzetközi műtárgypiacon, az Irányelv diszpozitív rendelkezéseiből fakadó jogbizonytalanság, európai szinten a szabályozás egységének hiánya – mind arra mutat, hogy még akad tennivaló e téren. A jelenlegi törekvések a teljesebb harmonizációra, a követő jogot még nem alkalmazó országok ösztönzése a jogintézmény bevezetésére, a művészek érdekeinek védelmét szolgáló garanciális szabályok megalkotása azonban azt jelzi, hogy a droit de suite szabályozásának alakulása jó úton halad afelé, hogy a vele szemben támasztott elvárásoknak kielégítően megfeleljen.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37461">
    <w:multiLevelType w:val="hybridMultilevel"/>
    <w:lvl w:ilvl="0" w:tplc="938874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37461">
    <w:abstractNumId w:val="28337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8637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