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TOMASOVSZKY</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Csécsy</w:t>
            </w:r>
          </w:p>
          <w:p w:rsidR="00DB4822" w:rsidRDefault="00DB4822" w:rsidP="00E11062">
            <w:pPr>
              <w:pStyle w:val="Konzulensek"/>
            </w:pPr>
            <w:r w:rsidRPr="00DB4822">
              <w:t>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Fundamental problems and questions of regulation of droit de suite</w:t>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r>
        <w:rPr>
          <w:color w:val="000000"/>
          <w:sz w:val="24"/>
          <w:szCs w:val="24"/>
        </w:rPr>
        <w:br/>
        <w:t xml:space="preserve">The essay studies resale royalty right (droit de suite), a special copyright institution, analyzing the fundamental problems and questions of its regulation. The study is looking for an answer whether the valid regulation of resale right in Europe is able to fill its purpose: providing protection for the interest of artists while avoiding the distortion of art market in Europe. This legal institution also has remarkable economic significance. This factor also justifies the importance and actuality of this topic.</w:t>
      </w:r>
      <w:r>
        <w:rPr>
          <w:color w:val="000000"/>
          <w:sz w:val="24"/>
          <w:szCs w:val="24"/>
        </w:rPr>
        <w:br/>
        <w:t xml:space="preserve">After discussing the history, purposes and theoretical base of droit de suite, the essay focuses on the elements of the legal institution, using both comparative and analytical methods. This chapter analyses the valid Hungarian law that implemented the 2001/84/EC Directive then points out to relevant rules in the French and German law, if these rules provide significant differences that derogate either the Directive or the Hungarian law. The questions of regulation and dilemmas in the Anglo-Saxon countries are expounded in a separate chapter. The last chapter in the essay approaches the topic from a private international law angle, searching for the best possible connecting principle that serves both legal interests and the interest of the artist as well.</w:t>
      </w:r>
      <w:r>
        <w:rPr>
          <w:color w:val="000000"/>
          <w:sz w:val="24"/>
          <w:szCs w:val="24"/>
        </w:rPr>
        <w:br/>
        <w:t xml:space="preserve">The conclusions of the essay do not paint a positive picture about the present state and regulation of droit de suite. The lack of exact judicial practice, the increasing number of countries not applying droit de suite in the international art market, the uncertainty arising from the dispositive provisions in the Directive, the deficit of a unified European legal order in this field all demonstrate how much left to do in this area of copyright law. The recent endeavours for a more complete harmonisation of national laws, the encouragement for introduction of resale right in countries where droit de suite is not applicable and the adoption of rules protecting and supporting artists all indicate that the new attempts in regulating resale right is about to grow up to the expectations.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42234">
    <w:multiLevelType w:val="hybridMultilevel"/>
    <w:lvl w:ilvl="0" w:tplc="62497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42234">
    <w:abstractNumId w:val="78342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528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