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LIPTAI</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László Fodor </w:t>
            </w:r>
          </w:p>
          <w:p w:rsidR="00DB4822" w:rsidRDefault="00DB4822" w:rsidP="00E11062">
            <w:pPr>
              <w:pStyle w:val="Konzulensek"/>
            </w:pPr>
            <w:r w:rsidRPr="00DB4822">
              <w:t>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Legal Aspects of the Fishing Environment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introduces a particular segment of agricultural law and the protection of environment according to a practical approach. Fishing is a very old profession. While the ecological system – the corresponding relation between water, fish and man- is not broken, a couple of rules are enough to be applied for fishing. However, over the last 30 years the development of fishing and its conformation to a hobby provided new challenges for the legislators. The problems to be solved are not decreasing, but increasing, literally lurking underwater</w:t>
      </w:r>
    </w:p>
    <w:p>
      <w:pPr>
        <w:widowControl w:val="on"/>
        <w:pBdr/>
        <w:spacing w:before="240" w:after="240" w:line="240" w:lineRule="auto"/>
        <w:ind w:left="0" w:right="0"/>
        <w:jc w:val="left"/>
      </w:pPr>
      <w:r>
        <w:rPr>
          <w:color w:val="000000"/>
          <w:sz w:val="24"/>
          <w:szCs w:val="24"/>
        </w:rPr>
        <w:t xml:space="preserve">I was focusing on carps and within it the protection of big carp, but of course the topic itself brought up important subjects such as the water and the protection of environment. On the basis of my personal experiences and with the help of some experts I collected the emerging problems trying to find applicable solution for them through legislation. We have considered legalizations and regulations such as animal protection, the prohibitions on fishing methods, fish preservation, the protection of water quality and so on. According to the space limitations of the subject I attached the existing legal provisions only to the strictly extent, I did not consider necessary its description.</w:t>
      </w:r>
    </w:p>
    <w:p>
      <w:pPr>
        <w:widowControl w:val="on"/>
        <w:pBdr/>
        <w:spacing w:before="240" w:after="240" w:line="240" w:lineRule="auto"/>
        <w:ind w:left="0" w:right="0"/>
        <w:jc w:val="left"/>
      </w:pPr>
      <w:r>
        <w:rPr>
          <w:color w:val="000000"/>
          <w:sz w:val="24"/>
          <w:szCs w:val="24"/>
        </w:rPr>
        <w:t xml:space="preserve">During my work I had to deal with civil and criminal matters as well. An essential result of it is the comparison of the utilization ratio of private and public lake which pointed out the relation of legislation, the environment and fish protection. Regarding the criminal sanction I propose applying animal cruelty law and one possible way of the determination of the historical fact.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53289">
    <w:multiLevelType w:val="hybridMultilevel"/>
    <w:lvl w:ilvl="0" w:tplc="73449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53289">
    <w:abstractNumId w:val="793532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61390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