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EVA LIGA</w:t>
            </w:r>
          </w:p>
          <w:p w:rsidR="00C275A3" w:rsidRDefault="00A96AEC" w:rsidP="00C275A3">
            <w:pPr>
              <w:pStyle w:val="Hallgatokepzes"/>
            </w:pPr>
            <w:r>
              <w:t>public administration</w:t>
            </w:r>
            <w:r>
              <w:br/>
            </w:r>
            <w:r w:rsidR="00E77B23">
              <w:t>MSc, 1. semester</w:t>
            </w:r>
          </w:p>
          <w:p w:rsidR="00C265CE" w:rsidRPr="009E5FF1" w:rsidRDefault="00E77B23" w:rsidP="00C275A3">
            <w:pPr>
              <w:pStyle w:val="Hallgatokepzes"/>
              <w:rPr>
                <w:b/>
                <w:caps/>
              </w:rPr>
            </w:pPr>
            <w:r>
              <w:t>University of Debrecen</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Flóra Fazekas</w:t>
            </w:r>
          </w:p>
          <w:p w:rsidR="00DB4822" w:rsidRDefault="00DB4822" w:rsidP="00E11062">
            <w:pPr>
              <w:pStyle w:val="Konzulensek"/>
            </w:pPr>
            <w:r w:rsidRPr="00DB4822">
              <w:t>assistant professor, DE ÁJK University of Debrecen Faculty of Law</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Cases before the European Court of Human Rights concerning religious symbols</w:t>
      </w:r>
    </w:p>
    <w:p w:rsidR="00D71DF5" w:rsidRDefault="00D71DF5" w:rsidP="00AD2602">
      <w:pPr>
        <w:jc w:val="both"/>
      </w:pPr>
    </w:p>
    <w:p>
      <w:pPr>
        <w:pBdr/>
        <w:spacing w:before="240" w:after="240" w:line="240" w:lineRule="auto"/>
        <w:ind w:left="0" w:right="0"/>
        <w:jc w:val="left"/>
      </w:pPr>
      <w:r>
        <w:rPr>
          <w:color w:val="000000"/>
          <w:sz w:val="24"/>
          <w:szCs w:val="24"/>
        </w:rPr>
        <w:t xml:space="preserve">In 2010 France adopted an act of parliament which bans the wearing of face-covering clothes in public places. Although the act itself avoids the expression „religious clothing”, it can be argued that it aims at the wearing of traditional muslim veils such as the niqab and the burqa.</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The French ban on the wearing of a burqa generated serious social and political disputes. The objective of the present thesis is to analyse similar conflicts concerning the wearing of religious symbols in European states. The thesis is focused on four cases which arose in four different states of the Council of Europe, i.e. in states which are contracting parties to the European Convention of Human Rights.</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The first part of the thesis deals with theoretical issues. First it deals with the freedom of religion and its limitations. It reviews the principles of neutrality and tolerance which are framed as constitutional requirements towards democratic states based on the freedom of religion.</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The second part of the thesis analyses four cases which were brought before the ECHR. It reviews the circumstances of the cases, the specific state regulations, the decisions of the ECHR and the main arguments.</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The closing part endeavours to draw theoretical conclusions on the basis of the practice. It determines the course of state regulations concerning the wearing of religious symbols. It examines whether these state actions are coherent with the principles of neutrality and tolerance. It defines the reasons which result in the limitation of the freedom of religion with regard to the specific national circumstances. The main conclusion of the thesis is that the constitutional requirements concerning the freedom of religion are not accomplished in every case with the same consequences.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5307102">
    <w:multiLevelType w:val="hybridMultilevel"/>
    <w:lvl w:ilvl="0" w:tplc="8450586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5307102">
    <w:abstractNumId w:val="5530710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7293030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