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LIGA ÉVA</w:t>
            </w:r>
          </w:p>
          <w:p w:rsidR="00C275A3" w:rsidRDefault="00A96AEC" w:rsidP="00C275A3">
            <w:pPr>
              <w:pStyle w:val="Hallgatokepzes"/>
            </w:pPr>
            <w:r>
              <w:t>közigazgatási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Fazekas Flóra</w:t>
            </w:r>
          </w:p>
          <w:p w:rsidR="00DB4822" w:rsidRDefault="00DB4822" w:rsidP="00E11062">
            <w:pPr>
              <w:pStyle w:val="Konzulensek"/>
            </w:pPr>
            <w:r w:rsidRPr="00DB4822">
              <w:t>e. adjunktus,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Vallási jelképek viselésével kapcsolatos döntések a strasbourgi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2010 őszén Franciaországban, Európában először fogadtak el olyan törvényt, mely tiltja a teljes arcot elfedő öltözet nyilvános helyen történő viselését. Bár a törvény kifejezetten kerüli a „vallási öltözet” megnevezést, sokak véleménye szerint a tilalom különösen a muzulmán női öltözet, a nikáb és a burka ellen irányul.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célja, hogy bemutassa a vallási jelképek viselésével kapcsolatban egyes európai államokban felmerült konfliktusokat, amelyek a burka-tilalomhoz hasonlóan megosztják a közvéleményt. Terjedelmi korlátok miatt a dolgozatban négy esetet rekonstruálok. Ezek az államok az Európa Tanács részes államai, melyek kötelező erővel fogadták el az Emberi Jogok Európai Egyezményét.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felépítését tekintve az elméleti résszel kezdődik, melyben elsőként a vallásszabadsággal és a vallásgyakorláshoz való joggal, illetve ezen alapjog korlátozhatóságával foglalkozom. E joggal összefüggésben két olyan elv kerül ismertetésre, mint a semlegesség és tolerancia, melyek alkotmányos követelményként fogalmazhatóak meg a tagállamokkal szemben.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nagy szerkezeti egységében négy esetet mutatok be részletesen az Emberi Jogok Európai Bíróságának döntései alapján. Az ügyekkel kapcsolatban ismertetem az ügy körülményeit, az adott tagállam szabályozását, a Bíróság által meghozott döntést és annak érveit.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meghozott strasbourgi döntés érvei alapján a dolgozat összegző részében összekapcsolom az elméletet a gyakorlattal. A döntésekből következtetéseket vonok le arra vonatkozóan, milyen irányba tartanak a tagállami szabályozások a vallási jelképek viselésével kapcsolatban, megfeleltethetőek-e ezek a fentebb említett két alkotmányos követelménynek, mely indokok szabhatnak határt a vallásgyakorlás korlátozásának figyelembe véve a tagállamok egymástól eltérő sajátosságait.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végkövetkeztetése, hogy az alkotmányos elvárások nem érvényesülnek minden esetben ugyanolyan következménnyel.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059122">
    <w:multiLevelType w:val="hybridMultilevel"/>
    <w:lvl w:ilvl="0" w:tplc="116348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059122">
    <w:abstractNumId w:val="660591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6316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