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LIGA</w:t>
            </w:r>
          </w:p>
          <w:p w:rsidR="00C275A3" w:rsidRDefault="00A96AEC" w:rsidP="00C275A3">
            <w:pPr>
              <w:pStyle w:val="Hallgatokepzes"/>
            </w:pPr>
            <w:r>
              <w:t>public administration</w:t>
            </w:r>
            <w:r>
              <w:br/>
            </w:r>
            <w:r w:rsidR="00E77B23">
              <w:t>MSc, 1.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Flóra Fazekas</w:t>
            </w:r>
          </w:p>
          <w:p w:rsidR="00DB4822" w:rsidRDefault="00DB4822" w:rsidP="00E11062">
            <w:pPr>
              <w:pStyle w:val="Konzulensek"/>
            </w:pPr>
            <w:r w:rsidRPr="00DB4822">
              <w:t>assistant professor, DE ÁJK University of Debrecen Faculty of Law</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Cases before the European Court of Human Rights concerning religious symbols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2010 France adopted an act of parliament which bans the wearing of face-covering clothes in public places. Although the act itself avoids the expression „religious clothing”, it can be argued that it aims at the wearing of traditional muslim veils such as the niqab and the burqa.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French ban on the wearing of a burqa generated serious social and political disputes. The objective of the present thesis is to analyse similar conflicts concerning the wearing of religious symbols in European states. The thesis is focused on four cases which arose in four different states of the Council of Europe, i.e. in states which are contracting parties to the European Convention of Human Rights.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first part of the thesis deals with theoretical issues. First it deals with the freedom of religion and its limitations. It reviews the principles of neutrality and tolerance which are framed as constitutional requirements towards democratic states based on the freedom of religion.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second part of the thesis analyses four cases which were brought before the ECHR. It reviews the circumstances of the cases, the specific state regulations, the decisions of the ECHR and the main arguments.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closing part endeavours to draw theoretical conclusions on the basis of the practice. It determines the course of state regulations concerning the wearing of religious symbols. It examines whether these state actions are coherent with the principles of neutrality and tolerance. It defines the reasons which result in the limitation of the freedom of religion with regard to the specific national circumstances. The main conclusion of the thesis is that the constitutional requirements concerning the freedom of religion are not accomplished in every case with the same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09074">
    <w:multiLevelType w:val="hybridMultilevel"/>
    <w:lvl w:ilvl="0" w:tplc="97515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09074">
    <w:abstractNumId w:val="19209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686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