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OLGA KATALIN PAPP</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Balogh dr.</w:t>
            </w:r>
          </w:p>
          <w:p w:rsidR="00DB4822" w:rsidRDefault="00DB4822" w:rsidP="00E11062">
            <w:pPr>
              <w:pStyle w:val="Konzulensek"/>
            </w:pPr>
            <w:r w:rsidRPr="00DB4822">
              <w:t>associate professor and head of department,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Our Private Life is in Steady Hands – But is it in Proper Hands as well?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deals with the constitutional protection of private life, more exactly with its aspects, as numerous valuables that should be protected appertain to privacy. The issue is perhaps always relevant but the new Basic Law of Hungary and political-judicial changes in the last two and half years have raised many problems.</w:t>
      </w:r>
    </w:p>
    <w:p>
      <w:pPr>
        <w:pBdr/>
        <w:spacing w:before="240" w:after="240" w:line="240" w:lineRule="auto"/>
        <w:ind w:left="0" w:right="0"/>
        <w:jc w:val="left"/>
      </w:pPr>
      <w:r>
        <w:rPr>
          <w:color w:val="000000"/>
          <w:sz w:val="24"/>
          <w:szCs w:val="24"/>
        </w:rPr>
        <w:t xml:space="preserve">The fundamental questions of these are analysed in the aspect of the constitutional law and, to some extent, law theory, seeing that I absolutely consider the theoritical establishment necessary to the understanding and appreciation.</w:t>
      </w:r>
    </w:p>
    <w:p>
      <w:pPr>
        <w:pBdr/>
        <w:spacing w:before="240" w:after="240" w:line="240" w:lineRule="auto"/>
        <w:ind w:left="0" w:right="0"/>
        <w:jc w:val="left"/>
      </w:pPr>
      <w:r>
        <w:rPr>
          <w:color w:val="000000"/>
          <w:sz w:val="24"/>
          <w:szCs w:val="24"/>
        </w:rPr>
        <w:t xml:space="preserve">I utilized essays of Hungarian and foreign authors, American, German and other sources and decisions of Strasbourg as well. I leant on the decisions of the Constitutional Court in connection with the subject, as these determine the future for the Hungarian legislature and executive. I have to emphasize that the theoritical establishment of basic laws do not comprehend in detail the relevant abundant literature because it would have exceeded the range of a (Teacher-Student Society) study.</w:t>
      </w:r>
    </w:p>
    <w:p>
      <w:pPr>
        <w:pBdr/>
        <w:spacing w:before="240" w:after="240" w:line="240" w:lineRule="auto"/>
        <w:ind w:left="0" w:right="0"/>
        <w:jc w:val="left"/>
      </w:pPr>
      <w:r>
        <w:rPr>
          <w:color w:val="000000"/>
          <w:sz w:val="24"/>
          <w:szCs w:val="24"/>
        </w:rPr>
        <w:t xml:space="preserve">It seems that the public encroachment on private life in Hungary involves a trouble like the often emphasized informatical-technical changes, that is why I exemplified some products of the legislation to be examined from the aspect of private life protection, including the Basic Law, of course, as well.</w:t>
      </w:r>
    </w:p>
    <w:p>
      <w:pPr>
        <w:pBdr/>
        <w:spacing w:before="240" w:after="240" w:line="240" w:lineRule="auto"/>
        <w:ind w:left="0" w:right="0"/>
        <w:jc w:val="left"/>
      </w:pPr>
      <w:r>
        <w:rPr>
          <w:color w:val="000000"/>
          <w:sz w:val="24"/>
          <w:szCs w:val="24"/>
        </w:rPr>
        <w:t xml:space="preserve">In the first chapter of my study I have set myself the task to outline such an ideology and context revealing the characteristics of private life in which I am able to plant the Hungarian rules of private life from the last two years.</w:t>
      </w:r>
    </w:p>
    <w:p>
      <w:pPr>
        <w:pBdr/>
        <w:spacing w:before="240" w:after="240" w:line="240" w:lineRule="auto"/>
        <w:ind w:left="0" w:right="0"/>
        <w:jc w:val="left"/>
      </w:pPr>
      <w:r>
        <w:rPr>
          <w:color w:val="000000"/>
          <w:sz w:val="24"/>
          <w:szCs w:val="24"/>
        </w:rPr>
        <w:t xml:space="preserve">In the second chapter I analyze changes that are in connection to the private life referring to the theoretical basement and by means of which evaluating the effect of the Basic Law and some acts that have derived from it on the previous Hungarian approach, its protective level and the standard of insertion to the European trends.</w:t>
      </w:r>
    </w:p>
    <w:p>
      <w:pPr>
        <w:pBdr/>
        <w:spacing w:before="240" w:after="240" w:line="240" w:lineRule="auto"/>
        <w:ind w:left="0" w:right="0"/>
        <w:jc w:val="left"/>
      </w:pPr>
      <w:r>
        <w:rPr>
          <w:color w:val="000000"/>
          <w:sz w:val="24"/>
          <w:szCs w:val="24"/>
        </w:rPr>
        <w:t xml:space="preserve">I searched the answer to the questions that are in connection to the attitude of the national legislative government to the law of respection of private life and whether there is an unambiguous tendency provable in it. If the answer is yes, and the tendency is negative, what sort of institutional appliances compensate them in the legal system and, in spite of occasional changes affecting them, whether they can serve their functions properly.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86902">
    <w:multiLevelType w:val="hybridMultilevel"/>
    <w:lvl w:ilvl="0" w:tplc="94059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86902">
    <w:abstractNumId w:val="37386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725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