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ZSUGYÓ VIRÁG</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Debreceni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Tóth Gábor Attila</w:t>
            </w:r>
          </w:p>
          <w:p w:rsidR="00DB4822" w:rsidRDefault="00DB4822" w:rsidP="00E11062">
            <w:pPr>
              <w:pStyle w:val="Konzulensek"/>
            </w:pPr>
            <w:r w:rsidRPr="00DB4822">
              <w:t>e. docens,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Alkotmányellenes alkotmánymódosítás?! Az alkotmánymódosítások bírói kontrollja a török és a magyar alkotmánybíróság gyakorlatán keresztül</w:t>
      </w:r>
    </w:p>
    <w:p w:rsidR="00D71DF5" w:rsidRDefault="00D71DF5" w:rsidP="00AD2602">
      <w:pPr>
        <w:jc w:val="both"/>
      </w:pPr>
    </w:p>
    <w:p>
      <w:pPr>
        <w:pBdr/>
        <w:spacing w:before="240" w:after="240" w:line="240" w:lineRule="auto"/>
        <w:ind w:left="0" w:right="0"/>
        <w:jc w:val="left"/>
      </w:pPr>
      <w:r>
        <w:rPr>
          <w:color w:val="000000"/>
          <w:sz w:val="24"/>
          <w:szCs w:val="24"/>
        </w:rPr>
        <w:t xml:space="preserve">A dolgozat arra vállalkozott, hogy a török és a magyar alkotmánybíróság alkotmánymódosításokkal kapcsolatos gyakorlatát elemzi. Először azt az előkérdést jártam körül, hogy elméletileg igazolható-e az alkotmánymódosítások bírói kontrollja. Az eltérő szakirodalmi álláspontok összevetése után amellett érveltem, hogy az alkotmánymódosítások bírói kontrollja indokolt az egyenlőség, az emberi jogok, és a demokratikus intézmények biztosításának érdekében. A parlament tevékenységének alkotmányossági felülvizsgálata az alkotmánymódosítások esetén is ugyanolyan előnyökkel és garanciákkal jár, mint a többi jogszabály esetén. A jogszabályok és az alkotmánymódosítások bírói felülvizsgálatának ugyanaz a célja, az hogy megőrizze az alkotmányt és annak tartalmát. Ezt követően összefoglaltam a számos különböző megoldást alkalmazó nemzetközi gyakorlat főbb sajátosságait. Az elméleti és összehasonlító gyakorlati rész biztosította a fogalmi keretet a török és a magyar alkotmánybíróság határozatainak elemzéséhez és összevetéséhez.</w:t>
      </w:r>
      <w:r>
        <w:rPr>
          <w:color w:val="000000"/>
          <w:sz w:val="24"/>
          <w:szCs w:val="24"/>
        </w:rPr>
        <w:br/>
        <w:t xml:space="preserve">Mi indokolja a török és a magyar alkotmánybíróság gyakorlatának összehasonlítását?</w:t>
      </w:r>
      <w:r>
        <w:rPr>
          <w:color w:val="000000"/>
          <w:sz w:val="24"/>
          <w:szCs w:val="24"/>
        </w:rPr>
        <w:br/>
        <w:t xml:space="preserve">Bár a két állam hagyományai és alkotmányos kultúrája eltérő, a két országban hasonló fordulatot hozott a 2010-es év. A parlamentben az alkotmány módosításához elegendő többséggel rendelkező kormányok hozzáfogtak az alkotmányok jelentős megváltoztatásához. A módosítások az alkotmánybíróságok függetlenségét és hatásköreit is érintették.</w:t>
      </w:r>
      <w:r>
        <w:rPr>
          <w:color w:val="000000"/>
          <w:sz w:val="24"/>
          <w:szCs w:val="24"/>
        </w:rPr>
        <w:br/>
        <w:t xml:space="preserve">A dolgozat arra kereste a választ, hogyan viszonyult a két testület a hatáskörét szűkítő, az alkotmánybírák létszámát felemelő és más alkotmánymódosító rendelkezésekhez. A magyar alkotmánybíróság az érdemi felülvizsgálatot elutasítva fejezte ki aggályait az alkotmánymódosítások gyakorisága, tartalma és az előterjesztés módja miatt. A szignalizációs alkotmányvédelem eszközével operált eredménytelenül. Jóllehet a testületnek lehetősége lett volna arra, hogy másképp döntsön. Így talán sikeresebb lett volna az alkotmányvédelem. A török alkotmánybíróság bár tartalmi szempontból is vizsgálta a módosításokat, de az intézményt érintő érdemi változtatásokat alkotmányosnak ítélte annak ellenére, hogy az egyértelműen főként a kormánypárt akaratát érvényesíti az alkotmánybírák megválasztásában.</w:t>
      </w:r>
      <w:r>
        <w:rPr>
          <w:color w:val="000000"/>
          <w:sz w:val="24"/>
          <w:szCs w:val="24"/>
        </w:rPr>
        <w:br/>
        <w:t xml:space="preserve">Mindent összevetve, egyik testület sem használta ki az elméletileg rendelkezésére álló eszközök teljességét saját intézménye védelme érdekében. Az alkotmánybíróság függetlensége nem csupán önértéke miatt fontos, hanem ez az alkotmányosság fő garanciája.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03145">
    <w:multiLevelType w:val="hybridMultilevel"/>
    <w:lvl w:ilvl="0" w:tplc="52410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03145">
    <w:abstractNumId w:val="16003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88794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