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ZSUGYÓ VIRÁG</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Gábor Attila</w:t>
            </w:r>
          </w:p>
          <w:p w:rsidR="00DB4822" w:rsidRDefault="00DB4822" w:rsidP="00E11062">
            <w:pPr>
              <w:pStyle w:val="Konzulensek"/>
            </w:pPr>
            <w:r w:rsidRPr="00DB4822">
              <w:t>e.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Alkotmányellenes alkotmánymódosítás?! Az alkotmánymódosítások bírói kontrollja a török és a magyar alkotmánybíróság gyakorlatán keresztül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arra vállalkozott, hogy a török és a magyar alkotmánybíróság alkotmánymódosításokkal kapcsolatos gyakorlatát elemzi. Először azt az előkérdést jártam körül, hogy elméletileg igazolható-e az alkotmánymódosítások bírói kontrollja. Az eltérő szakirodalmi álláspontok összevetése után amellett érveltem, hogy az alkotmánymódosítások bírói kontrollja indokolt az egyenlőség, az emberi jogok, és a demokratikus intézmények biztosításának érdekében. A parlament tevékenységének alkotmányossági felülvizsgálata az alkotmánymódosítások esetén is ugyanolyan előnyökkel és garanciákkal jár, mint a többi jogszabály esetén. A jogszabályok és az alkotmánymódosítások bírói felülvizsgálatának ugyanaz a célja, az hogy megőrizze az alkotmányt és annak tartalmát. Ezt követően összefoglaltam a számos különböző megoldást alkalmazó nemzetközi gyakorlat főbb sajátosságait. Az elméleti és összehasonlító gyakorlati rész biztosította a fogalmi keretet a török és a magyar alkotmánybíróság határozatainak elemzéséhez és összevetéséhez.</w:t>
      </w:r>
      <w:r>
        <w:rPr>
          <w:color w:val="000000"/>
          <w:sz w:val="24"/>
          <w:szCs w:val="24"/>
        </w:rPr>
        <w:br/>
        <w:t xml:space="preserve">Mi indokolja a török és a magyar alkotmánybíróság gyakorlatának összehasonlítását?</w:t>
      </w:r>
      <w:r>
        <w:rPr>
          <w:color w:val="000000"/>
          <w:sz w:val="24"/>
          <w:szCs w:val="24"/>
        </w:rPr>
        <w:br/>
        <w:t xml:space="preserve">Bár a két állam hagyományai és alkotmányos kultúrája eltérő, a két országban hasonló fordulatot hozott a 2010-es év. A parlamentben az alkotmány módosításához elegendő többséggel rendelkező kormányok hozzáfogtak az alkotmányok jelentős megváltoztatásához. A módosítások az alkotmánybíróságok függetlenségét és hatásköreit is érintették.</w:t>
      </w:r>
      <w:r>
        <w:rPr>
          <w:color w:val="000000"/>
          <w:sz w:val="24"/>
          <w:szCs w:val="24"/>
        </w:rPr>
        <w:br/>
        <w:t xml:space="preserve">A dolgozat arra kereste a választ, hogyan viszonyult a két testület a hatáskörét szűkítő, az alkotmánybírák létszámát felemelő és más alkotmánymódosító rendelkezésekhez. A magyar alkotmánybíróság az érdemi felülvizsgálatot elutasítva fejezte ki aggályait az alkotmánymódosítások gyakorisága, tartalma és az előterjesztés módja miatt. A szignalizációs alkotmányvédelem eszközével operált eredménytelenül. Jóllehet a testületnek lehetősége lett volna arra, hogy másképp döntsön. Így talán sikeresebb lett volna az alkotmányvédelem. A török alkotmánybíróság bár tartalmi szempontból is vizsgálta a módosításokat, de az intézményt érintő érdemi változtatásokat alkotmányosnak ítélte annak ellenére, hogy az egyértelműen főként a kormánypárt akaratát érvényesíti az alkotmánybírák megválasztásában.</w:t>
      </w:r>
      <w:r>
        <w:rPr>
          <w:color w:val="000000"/>
          <w:sz w:val="24"/>
          <w:szCs w:val="24"/>
        </w:rPr>
        <w:br/>
        <w:t xml:space="preserve">Mindent összevetve, egyik testület sem használta ki az elméletileg rendelkezésére álló eszközök teljességét saját intézménye védelme érdekében. Az alkotmánybíróság függetlensége nem csupán önértéke miatt fontos, hanem ez az alkotmányosság fő garanciája.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74456">
    <w:multiLevelType w:val="hybridMultilevel"/>
    <w:lvl w:ilvl="0" w:tplc="35199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74456">
    <w:abstractNumId w:val="62474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187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