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ZSUGYÓ</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Attila Tóth</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Unconstitutional constitutional amendment?! The judicial review of constitutional amendments trough the practice of the Turkish and the Hungarian Constitutional Court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Main objective of this paper is to analyse the practise of Turkish and Hungarian Constitutional Court in connection with constitutional amendments. First I investigated whether the judicial review of amendments is theoretically justifiable. Comparing different viewpoints of specialized literature I argued on the reasonabless of judicial review of amendments so as to guarantee equality, human rights and democracy. Judicial review of constitutional amendment would provide as much advantage and guarantee as the constitutional review of parliament legislation. Judicial review of constitutional amendments as well as the review of laws has the same purpose, namely to preserve the constitution and its content. Then I summarized the main specialities of some international practise applying different solutions. The theoretical and comparative practise chapters gave the conceptual framework for analising and comparing the decisions of Turkish and Hungarian Constitutional Court.</w:t>
      </w:r>
      <w:r>
        <w:rPr>
          <w:color w:val="000000"/>
          <w:sz w:val="24"/>
          <w:szCs w:val="24"/>
        </w:rPr>
        <w:br/>
        <w:t xml:space="preserve">Why is it important to compare the practise of Turkish and Hungarian Constitutional Court? Altough traditional and constitutional culture of these two states are different the year of 2010 brought the same change in both countries. Goverments having enough majority in Parliament started to amend the constitution. Amendments affected the independence and competency of Constitutional Courts.</w:t>
      </w:r>
      <w:r>
        <w:rPr>
          <w:color w:val="000000"/>
          <w:sz w:val="24"/>
          <w:szCs w:val="24"/>
        </w:rPr>
        <w:br/>
        <w:t xml:space="preserve">This essay tries to find answer to the question how these two institutions reacted to the reduction of their competency, the increase of their members and other amendments. Hungarian Constitutional Court rejected substantial review of amendments but disapproved the frequency and content of these amendmants and the way of proposal. It ineffectually operated with the signing method of constitutional protection (szignalizációs alkotmányvédelem) though it would have the chance to decide in another way, which may result in a more sucessful protection of the Constitution.</w:t>
      </w:r>
      <w:r>
        <w:rPr>
          <w:color w:val="000000"/>
          <w:sz w:val="24"/>
          <w:szCs w:val="24"/>
        </w:rPr>
        <w:br/>
        <w:t xml:space="preserve">The Turkish Constitutional Court reviewed the substance of the amendments but those concerning the Constitutional Court were judged as not agaist the Constitution altough amendments concernig election procedure of judge obviously enforce the aim of goverment parties.</w:t>
      </w:r>
      <w:r>
        <w:rPr>
          <w:color w:val="000000"/>
          <w:sz w:val="24"/>
          <w:szCs w:val="24"/>
        </w:rPr>
        <w:br/>
        <w:t xml:space="preserve">Taking it all around neither Constitutional Court took advantage of available opportunities to protect their institution. Independence of Constitutional Courts is important not just because of the courts’ self-appreciation but also because it is the main guarantee of constitutionality.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92571">
    <w:multiLevelType w:val="hybridMultilevel"/>
    <w:lvl w:ilvl="0" w:tplc="76606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92571">
    <w:abstractNumId w:val="14392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509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