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PONYOKAI JUDIT</w:t>
            </w:r>
          </w:p>
          <w:p w:rsidR="00C275A3" w:rsidRDefault="00A96AEC" w:rsidP="00C275A3">
            <w:pPr>
              <w:pStyle w:val="Hallgatokepzes"/>
            </w:pPr>
            <w:r>
              <w:t>jogász</w:t>
            </w:r>
            <w:r>
              <w:br/>
            </w:r>
            <w:r w:rsidR="00E77B23">
              <w:t>Osztatlan, 10.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Elek Balázs</w:t>
            </w:r>
          </w:p>
          <w:p w:rsidR="00DB4822" w:rsidRDefault="00DB4822" w:rsidP="00E11062">
            <w:pPr>
              <w:pStyle w:val="Konzulensek"/>
            </w:pPr>
            <w:r w:rsidRPr="00DB4822">
              <w:t>docens, DE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Hatékonyság és gyorsaság. Hatékonyság vagy gyorsaság? A kiemelt jelentőségű ügyek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a kiemelt jelentőségű ügyeket veszi gorcső alá, valamint a büntetőeljárás gyorsítását, hiszen az eljárások hosszadalmas voltának problematikája régóta foglalkoztatja a társadalmat és a jogtudmányt egyaránt.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Egyrészt azt mondhatjuk mindenképpen üdvözlendő jogalkotói törekvés ezen ügycsoport Büntető Eljárásról szóló törvénybe iktatása, másrészt éles társadalmi és szakmai vitákat gerjesztett a különeljárások e körének törvénybe emelése.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Értekezésemben megvizsgáltam a Büntetőeljárásról szóló törvény, kiemelt jelentőségű ügyekre vonatkozó rendelkezéseit, összevetettem őket a büntetőeljárás egyes alapelveivel, alkotmányoks jogokkal. Ezek után elméleti és gyakorlati szempontból elemeztem az ügycsoportot, tettem szemléletesebbé hazai, és európai uniós joggyakorlattal.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Végül elemztem azokat az indítványokat, melyek az Alkotmánybíróság elé kerültek az ügycsoport kapcsán, az Alkotmánybíróság döntését, az ehhez kapcsolódó párhuzamos, és különvéleményeket.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6691285">
    <w:multiLevelType w:val="hybridMultilevel"/>
    <w:lvl w:ilvl="0" w:tplc="4508661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6691285">
    <w:abstractNumId w:val="4669128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2700901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