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TÜNDE PINTÉR</w:t>
            </w:r>
          </w:p>
          <w:p w:rsidR="00C275A3" w:rsidRDefault="00A96AEC" w:rsidP="00C275A3">
            <w:pPr>
              <w:pStyle w:val="Hallgatokepzes"/>
            </w:pPr>
            <w:r>
              <w:t>opera singer MA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Újváriné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Appearance of Child Mortality in the Romantic Music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my study is The Appearance of Child Mortality in the Romantic Music, in which I dealt with the topic of death and within this context with the manifestations of child mortality, the children’s position in the intellectual streams of the era. In addition, I concentrated on the works of the most representative composers of the topic of death such as: Schubert, Liszt, Brahms, Musorgskij and Mahler. The peculiarity of the representation of child death, the artistic approach to the subject amazed and inspired me to elaborate on this topic. In my study I lay special emphasis on my concert programme, the fourth song (“Oft denk’ ich, sie sind nur ausgegangen”) of Mahler’s “Songson the Deaths of Children”, Schubert’s “Erlkönig” and Liszt’s “Der Fischerknabe”; and touch upon the two prevalent representatives of the topic, Brahms and Musorgskij’s works on the theme of death.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04216">
    <w:multiLevelType w:val="hybridMultilevel"/>
    <w:lvl w:ilvl="0" w:tplc="62555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04216">
    <w:abstractNumId w:val="43204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467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