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ERIKA TOTH</w:t>
            </w:r>
          </w:p>
          <w:p w:rsidR="00C275A3" w:rsidRDefault="00A96AEC" w:rsidP="00C275A3">
            <w:pPr>
              <w:pStyle w:val="Hallgatokepzes"/>
            </w:pPr>
            <w:r>
              <w:t>international economics</w:t>
            </w:r>
            <w:r>
              <w:br/>
            </w:r>
            <w:r w:rsidR="00E77B23">
              <w:t>BA,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Vásáry Phd</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Turkey to join the European Union? Macro-economic analysis of a possible accession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European Union is all around us, we are living in it, our country is one of the current 27 member states. At the present time, the number of the member states is not final, there are also candidate countries. The success of the accession is not measured in the time period what a country spend as a candidate or the time when the accession negotiations begun. It is not depend on the geographical position of the country or the political or religious views. There are severe accession criterias and that is not as easy and univocal to fulfill as we think.</w:t>
      </w:r>
      <w:r>
        <w:rPr>
          <w:color w:val="000000"/>
          <w:sz w:val="24"/>
          <w:szCs w:val="24"/>
        </w:rPr>
        <w:br/>
        <w:t xml:space="preserve">In my research, I intend to examine the special status between Turkey and the European Union. I mainly used secunder sources and macroeconomic indicators. I investigate which are the sectors, fields of Turkey’s economy that are ready and suitable for the accession and where can we meet smaller or larger shortcomings. My purpose is to paint a general, overall picture of the economic situation and make a detailed analysis.</w:t>
      </w:r>
      <w:r>
        <w:rPr>
          <w:color w:val="000000"/>
          <w:sz w:val="24"/>
          <w:szCs w:val="24"/>
        </w:rPr>
        <w:br/>
        <w:t xml:space="preserve">The emerging issue of my research is whether a possible turkish accession would support the economic performance of the EU or the contrary; it would set it back and cause instability. Historically, my examination goes back to the economic crisis from nowadays.</w:t>
      </w:r>
      <w:r>
        <w:rPr>
          <w:color w:val="000000"/>
          <w:sz w:val="24"/>
          <w:szCs w:val="24"/>
        </w:rPr>
        <w:br/>
        <w:t xml:space="preserve">I have chosen this topic because it is actual. I wanted to make an international outlook, deepen my everyday knowledge and I was attracted by the special status between Turkey and the European Union. Making possible scenarios is an extremly complex challenge, but this challenge motivated me to explore this theme.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10065">
    <w:multiLevelType w:val="hybridMultilevel"/>
    <w:lvl w:ilvl="0" w:tplc="86490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10065">
    <w:abstractNumId w:val="28810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004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