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CINTIA SZENTELEKI</w:t>
            </w:r>
          </w:p>
          <w:p w:rsidR="00C275A3" w:rsidRDefault="00A96AEC" w:rsidP="00C275A3">
            <w:pPr>
              <w:pStyle w:val="Hallgatokepzes"/>
            </w:pPr>
            <w:r>
              <w:t>international economics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Edit Komlósi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emotional intelligence and work-life balance among middle managers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work, I intend to examine emotional intelligence and work-life balance.</w:t>
      </w:r>
      <w:r>
        <w:rPr>
          <w:color w:val="000000"/>
          <w:sz w:val="24"/>
          <w:szCs w:val="24"/>
        </w:rPr>
        <w:br/>
        <w:t xml:space="preserve">Emotional intelligence is a recent research phenomenon in the field of economics, but many research proves, that it has a significant effect on the work performance. We can not leave our feelings at home, because they are indispensable to being a conscious and responsible worker. There are two types of emotional intelligence approaches: one is based on the personality traits, and the other based on abilities. This research focuses on trait emotional intelligence because I think middle managers (with whom I have carried out my research) have to have these basic characteristics, which are necessary to deal with all stakeholders, and helps their work.</w:t>
      </w:r>
      <w:r>
        <w:rPr>
          <w:color w:val="000000"/>
          <w:sz w:val="24"/>
          <w:szCs w:val="24"/>
        </w:rPr>
        <w:br/>
        <w:t xml:space="preserve">I started examining middle managers’ work-life balance issue two years ago, and I experienced its significant effects. Nowadays more people have higher expectations in the fields of work and private life. I would like to explore the importance of work-life balance not just from the people’s view, but also in connection with effective work performance.</w:t>
      </w:r>
      <w:r>
        <w:rPr>
          <w:color w:val="000000"/>
          <w:sz w:val="24"/>
          <w:szCs w:val="24"/>
        </w:rPr>
        <w:br/>
        <w:t xml:space="preserve">Finally, I would like to discover the relationship between middle managers’ emotional intelligence level and work-life balance facets, and support this with scientific results.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47438">
    <w:multiLevelType w:val="hybridMultilevel"/>
    <w:lvl w:ilvl="0" w:tplc="70040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47438">
    <w:abstractNumId w:val="58147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661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