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GÓCZA ÁGNES</w:t>
            </w:r>
          </w:p>
          <w:p w:rsidR="00C275A3" w:rsidRDefault="00A96AEC" w:rsidP="00C275A3">
            <w:pPr>
              <w:pStyle w:val="Hallgatokepzes"/>
            </w:pPr>
            <w:r>
              <w:t>jogász</w:t>
            </w:r>
            <w:r>
              <w:br/>
            </w:r>
            <w:r w:rsidR="00E77B23">
              <w:t>Osztatlan, 3.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Madai Sándor</w:t>
            </w:r>
          </w:p>
          <w:p w:rsidR="00DB4822" w:rsidRDefault="00DB4822" w:rsidP="00E11062">
            <w:pPr>
              <w:pStyle w:val="Konzulensek"/>
            </w:pPr>
            <w:r w:rsidRPr="00DB4822">
              <w:t>tanszékvezető 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jövedéki adóztatás a jövedéki törvény és a büntetőjog aspektusából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jövedéki adó nem igazán tartozik a legszélesebb körben ismert adók közé, de jelentősége nem vitatható sem Magyarország költségvetésében, sem az Európai Unió adórendszerében, melyben kiemelt helyét mutatja a magas szintű jogharmonizációra való törekvés is.</w:t>
      </w:r>
    </w:p>
    <w:p>
      <w:pPr>
        <w:pBdr/>
        <w:spacing w:before="240" w:after="240" w:line="240" w:lineRule="auto"/>
        <w:ind w:left="0" w:right="0"/>
        <w:jc w:val="left"/>
      </w:pPr>
      <w:r>
        <w:rPr>
          <w:color w:val="000000"/>
          <w:sz w:val="24"/>
          <w:szCs w:val="24"/>
        </w:rPr>
        <w:t xml:space="preserve">Az adó be nem vallása, ezáltal a meg nem fizetése azonban az emberi történelem kezdete óta problémát jelent, és igazságtalan azokkal szemben, akik teljesítik törvényi adófizetési kötelezettségeiket. Ezen társadalmi problémakezelés sajátos eszköze a büntetőjog. Dolgozatomban rávilágítottam, hogy az adólekerülés módszereinek - a kifogyhatatlan emberi leleményességből adódó – állandó változása újabb és újabb kihívások elé állítja a jogalkotókat. Ez arról győz meg minket, hogy a büntetőtörvénykönyv gazdasági bűncselekményeivel foglalkozó része egy élő, állandóan és dinamikusan változó anyag. Úgy tűnik, az adóelkerülés érdekében talált „kiskapuk” jog erejével történő folyamatos bezárogatása ahelyett, hogy eltántorítaná az adókerülőket, inkább kihívásnak tekintik.</w:t>
      </w:r>
    </w:p>
    <w:p>
      <w:pPr>
        <w:pBdr/>
        <w:spacing w:before="240" w:after="240" w:line="240" w:lineRule="auto"/>
        <w:ind w:left="0" w:right="0"/>
        <w:jc w:val="left"/>
      </w:pPr>
      <w:r>
        <w:rPr>
          <w:color w:val="000000"/>
          <w:sz w:val="24"/>
          <w:szCs w:val="24"/>
        </w:rPr>
        <w:t xml:space="preserve">Dolgozatomnak aktualitást adott, hogy a 2011. évi LXIII. tv. 2. §-a 2012. január 1. napjától a Btk.-ba iktatta a költségvetési csalás tényállását.</w:t>
      </w:r>
    </w:p>
    <w:p>
      <w:pPr>
        <w:pBdr/>
        <w:spacing w:before="240" w:after="240" w:line="240" w:lineRule="auto"/>
        <w:ind w:left="0" w:right="0"/>
        <w:jc w:val="left"/>
      </w:pPr>
      <w:r>
        <w:rPr>
          <w:color w:val="000000"/>
          <w:sz w:val="24"/>
          <w:szCs w:val="24"/>
        </w:rPr>
        <w:t xml:space="preserve">A védelem fókuszába a bűncselekmények közvetlen jogi tárgya és az annak sérelmét jelentő elkövetési magatartások (pl.: adókötelezettség megállapítására vonatkozó valótlan tartalmú nyilatkozat tétele) kerültek azáltal, hogy magasabb általánosított formában és a lehető legabsztraktabb formában kerültek meghatározásra.</w:t>
      </w:r>
    </w:p>
    <w:p>
      <w:pPr>
        <w:pBdr/>
        <w:spacing w:before="240" w:after="240" w:line="240" w:lineRule="auto"/>
        <w:ind w:left="0" w:right="0"/>
        <w:jc w:val="left"/>
      </w:pPr>
      <w:r>
        <w:rPr>
          <w:color w:val="000000"/>
          <w:sz w:val="24"/>
          <w:szCs w:val="24"/>
        </w:rPr>
        <w:t xml:space="preserve">Ismertetem a költségvetési csalás alapeseteit, melyek a következők:</w:t>
      </w:r>
    </w:p>
    <w:p>
      <w:pPr>
        <w:pBdr/>
        <w:spacing w:before="240" w:after="240" w:line="240" w:lineRule="auto"/>
        <w:ind w:left="0" w:right="0"/>
        <w:jc w:val="left"/>
      </w:pPr>
      <w:r>
        <w:rPr>
          <w:color w:val="000000"/>
          <w:sz w:val="24"/>
          <w:szCs w:val="24"/>
        </w:rPr>
        <w:t xml:space="preserve">I.: A költségvetési csalás általános elkövetési magatartásai</w:t>
      </w:r>
    </w:p>
    <w:p>
      <w:pPr>
        <w:pBdr/>
        <w:spacing w:before="240" w:after="240" w:line="240" w:lineRule="auto"/>
        <w:ind w:left="0" w:right="0"/>
        <w:jc w:val="left"/>
      </w:pPr>
      <w:r>
        <w:rPr>
          <w:color w:val="000000"/>
          <w:sz w:val="24"/>
          <w:szCs w:val="24"/>
        </w:rPr>
        <w:t xml:space="preserve">II.: A jövedéki termékekre elkövetett költségvetési csalás elkövetési magatartásai</w:t>
      </w:r>
    </w:p>
    <w:p>
      <w:pPr>
        <w:pBdr/>
        <w:spacing w:before="240" w:after="240" w:line="240" w:lineRule="auto"/>
        <w:ind w:left="0" w:right="0"/>
        <w:jc w:val="left"/>
      </w:pPr>
      <w:r>
        <w:rPr>
          <w:color w:val="000000"/>
          <w:sz w:val="24"/>
          <w:szCs w:val="24"/>
        </w:rPr>
        <w:t xml:space="preserve">III.: A költségvetésből származó pénzeszközökkel kapcsolatos egyes kötelezettségek megszegésével elkövetett költségvetési csalás</w:t>
      </w:r>
    </w:p>
    <w:p>
      <w:pPr>
        <w:pBdr/>
        <w:spacing w:before="240" w:after="240" w:line="240" w:lineRule="auto"/>
        <w:ind w:left="0" w:right="0"/>
        <w:jc w:val="left"/>
      </w:pPr>
      <w:r>
        <w:rPr>
          <w:color w:val="000000"/>
          <w:sz w:val="24"/>
          <w:szCs w:val="24"/>
        </w:rPr>
        <w:t xml:space="preserve">A 3 alapeset közül a jövedéki termékre elkövetett bűncselekmények szempontjából releváns költségvetési csalás II. alapesetét, a költségvetési csaláshoz kapcsolódó felügyeleti vagy ellenőrzési kötelezettség elmulasztását és a jövedékkel visszaélés elősegítése tényállásokat vizsgáltam meg. Ezek részletes bemutatásával, az egyes fogalmak definiálásával próbáltam mélyrehatóan elemezni, értelmezni a benne megfogalmazottakat. Igyekeztem rávilágítani, milyen fontos összefüggések vannak a jövedéki törvény, a jövedéki törvény felhatalmazása alapján született jogszabályok és a jövedéki termékre elkövetett bűncselekményekkel foglalkozó büntetőjog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88920">
    <w:multiLevelType w:val="hybridMultilevel"/>
    <w:lvl w:ilvl="0" w:tplc="80360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88920">
    <w:abstractNumId w:val="35888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996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