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HENRIETTA REGINA FARKAS</w:t>
            </w:r>
          </w:p>
          <w:p w:rsidR="00C275A3" w:rsidRDefault="00A96AEC" w:rsidP="00C275A3">
            <w:pPr>
              <w:pStyle w:val="Hallgatokepzes"/>
            </w:pPr>
            <w:r>
              <w:t/>
            </w:r>
            <w:r>
              <w:br/>
            </w:r>
            <w:r w:rsidR="00E77B23">
              <w:t>Unified, 7.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Ildikó Bartha</w:t>
            </w:r>
          </w:p>
          <w:p w:rsidR="00DB4822" w:rsidRDefault="00DB4822" w:rsidP="00E11062">
            <w:pPr>
              <w:pStyle w:val="Konzulensek"/>
            </w:pPr>
            <w:r w:rsidRPr="00DB4822">
              <w:t>assistant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”To buy, or not to buy?”
The legal judgement of ”used” software trades in the European Union
</w:t>
      </w:r>
    </w:p>
    <w:p w:rsidR="00D71DF5" w:rsidRDefault="00D71DF5" w:rsidP="00AD2602">
      <w:pPr>
        <w:jc w:val="both"/>
      </w:pPr>
    </w:p>
    <w:p>
      <w:pPr>
        <w:pBdr/>
        <w:spacing w:before="240" w:after="240" w:line="240" w:lineRule="auto"/>
        <w:ind w:left="0" w:right="0"/>
        <w:jc w:val="left"/>
      </w:pPr>
      <w:r>
        <w:rPr>
          <w:color w:val="000000"/>
          <w:sz w:val="24"/>
          <w:szCs w:val="24"/>
        </w:rPr>
        <w:t xml:space="preserve">”To buy, or not to buy?”</w:t>
      </w:r>
    </w:p>
    <w:p>
      <w:pPr>
        <w:pBdr/>
        <w:spacing w:before="240" w:after="240" w:line="240" w:lineRule="auto"/>
        <w:ind w:left="0" w:right="0"/>
        <w:jc w:val="left"/>
      </w:pPr>
      <w:r>
        <w:rPr>
          <w:color w:val="000000"/>
          <w:sz w:val="24"/>
          <w:szCs w:val="24"/>
        </w:rPr>
        <w:t xml:space="preserve">The legal judgement of ”used” software trades in the European Union</w:t>
      </w:r>
    </w:p>
    <w:p>
      <w:pPr>
        <w:pBdr/>
        <w:spacing w:before="240" w:after="240" w:line="240" w:lineRule="auto"/>
        <w:ind w:left="0" w:right="0"/>
        <w:jc w:val="left"/>
      </w:pPr>
      <w:r>
        <w:rPr>
          <w:color w:val="000000"/>
          <w:sz w:val="24"/>
          <w:szCs w:val="24"/>
        </w:rPr>
        <w:t xml:space="preserve">In my paper I examined the related problems with the union copyright of the softwares. One of the most debated topics of the copyright is the copyrights being attached to the softwares. The softwares play an increasingly bigger role in several industries, so basically the national economies and European Union's development depend on them.</w:t>
      </w:r>
    </w:p>
    <w:p>
      <w:pPr>
        <w:pBdr/>
        <w:spacing w:before="240" w:after="240" w:line="240" w:lineRule="auto"/>
        <w:ind w:left="0" w:right="0"/>
        <w:jc w:val="left"/>
      </w:pPr>
      <w:r>
        <w:rPr>
          <w:color w:val="000000"/>
          <w:sz w:val="24"/>
          <w:szCs w:val="24"/>
        </w:rPr>
        <w:t xml:space="preserve">My study has three main chapters. In the first chapter I wrote about the union copyright of the softwares concerning the dogmatic theology and the fundamental rights, and I also introduced the international and union legal sources of the Union protection of the programs concerned. Here I would highlight the Software Directive, because the application and interpretation problems arise in connection with this legal source.</w:t>
      </w:r>
    </w:p>
    <w:p>
      <w:pPr>
        <w:pBdr/>
        <w:spacing w:before="240" w:after="240" w:line="240" w:lineRule="auto"/>
        <w:ind w:left="0" w:right="0"/>
        <w:jc w:val="left"/>
      </w:pPr>
      <w:r>
        <w:rPr>
          <w:color w:val="000000"/>
          <w:sz w:val="24"/>
          <w:szCs w:val="24"/>
        </w:rPr>
        <w:t xml:space="preserve">In the second chapter I tried to summarize the copyright questions of the computer programmes. From this I would emphasize the problem of the principle of the right exhaustion, by which we come to one of the big problems of software copyright, the trade of the “used” softwares. The Software Directive dispose of the principle of the right exhaustion, but during the application of the provisions many questions arise.</w:t>
      </w:r>
    </w:p>
    <w:p>
      <w:pPr>
        <w:pBdr/>
        <w:spacing w:before="240" w:after="240" w:line="240" w:lineRule="auto"/>
        <w:ind w:left="0" w:right="0"/>
        <w:jc w:val="left"/>
      </w:pPr>
      <w:r>
        <w:rPr>
          <w:color w:val="000000"/>
          <w:sz w:val="24"/>
          <w:szCs w:val="24"/>
        </w:rPr>
        <w:t xml:space="preserve">From among these two central questions can be asked. The first one is, that how much the software firms can limit the extent of the principle of exhaustion of rights in the user licence agreement. The other one is that can the form of the software affect the exhaustion of the distribution right. More specifically is the distribution right exhaust if they buy the program in such a way that they download it from internet?</w:t>
      </w:r>
    </w:p>
    <w:p>
      <w:pPr>
        <w:pBdr/>
        <w:spacing w:before="240" w:after="240" w:line="240" w:lineRule="auto"/>
        <w:ind w:left="0" w:right="0"/>
        <w:jc w:val="left"/>
      </w:pPr>
      <w:r>
        <w:rPr>
          <w:color w:val="000000"/>
          <w:sz w:val="24"/>
          <w:szCs w:val="24"/>
        </w:rPr>
        <w:t xml:space="preserve">The problem is that the software manufacturers often try to prevent the success of the right exhaustion. Therefore the manufacturers incorporate a fact into the licence agreement, that they only hand over the right to use the software to the users. So this way, we can’t speak about selling and right exhaustion.</w:t>
      </w:r>
    </w:p>
    <w:p>
      <w:pPr>
        <w:pBdr/>
        <w:spacing w:before="240" w:after="240" w:line="240" w:lineRule="auto"/>
        <w:ind w:left="0" w:right="0"/>
        <w:jc w:val="left"/>
      </w:pPr>
      <w:r>
        <w:rPr>
          <w:color w:val="000000"/>
          <w:sz w:val="24"/>
          <w:szCs w:val="24"/>
        </w:rPr>
        <w:t xml:space="preserve">In the third chapter I processed one judgement of the Eu. Court of Justice. In the summer, a Court's decision appeared, which serves as a response to the "used" software trade issues. The Court ruled that the manufacturers shall not prevent the success of the right exhaustion in the licence contract and the success of the right exhaustion is independent of the form of the software. So with this we got the answer to our main question: "to buy or not to buy?" The answer is: "to buy."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347656">
    <w:multiLevelType w:val="hybridMultilevel"/>
    <w:lvl w:ilvl="0" w:tplc="550930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347656">
    <w:abstractNumId w:val="523476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71213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