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SZABÓ FRUZSINA MARIANN</w:t>
            </w:r>
          </w:p>
          <w:p w:rsidR="00C275A3" w:rsidRDefault="00A96AEC" w:rsidP="00C275A3">
            <w:pPr>
              <w:pStyle w:val="Hallgatokepzes"/>
            </w:pPr>
            <w:r>
              <w:t>Jogász</w:t>
            </w:r>
            <w:r>
              <w:br/>
            </w:r>
            <w:r w:rsidR="00E77B23">
              <w:t>Osztatlan, 7.  félév</w:t>
            </w:r>
          </w:p>
          <w:p w:rsidR="00C265CE" w:rsidRPr="009E5FF1" w:rsidRDefault="00E77B23" w:rsidP="00C275A3">
            <w:pPr>
              <w:pStyle w:val="Hallgatokepzes"/>
              <w:rPr>
                <w:b/>
                <w:caps/>
              </w:rPr>
            </w:pPr>
            <w:r>
              <w:t>Debreceni 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Konzulensek: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Bartha Ildikó</w:t>
            </w:r>
          </w:p>
          <w:p w:rsidR="00DB4822" w:rsidRDefault="00DB4822" w:rsidP="00E11062">
            <w:pPr>
              <w:pStyle w:val="Konzulensek"/>
            </w:pPr>
            <w:r w:rsidRPr="00DB4822">
              <w:t>egyetemi adjunktus, </w:t>
            </w:r>
          </w:p>
        </w:tc>
      </w:tr>
      <w:tr w:rsidR="00DB4822" w:rsidTr="00DB4822">
        <w:tc>
          <w:tcPr>
            <w:tcW w:w="9854" w:type="dxa"/>
          </w:tcPr>
          <w:p w:rsidR="00DB4822" w:rsidRPr="00DB4822" w:rsidRDefault="00DB4822" w:rsidP="004D7940">
            <w:pPr>
              <w:pStyle w:val="Konzulensek"/>
            </w:pPr>
            <w:r w:rsidRPr="00DB4822">
              <w:t>Dr. Szabó Zsuzsanna</w:t>
            </w:r>
          </w:p>
          <w:p w:rsidR="00DB4822" w:rsidRDefault="00DB4822" w:rsidP="00E11062">
            <w:pPr>
              <w:pStyle w:val="Konzulensek"/>
            </w:pPr>
            <w:r w:rsidRPr="00DB4822">
              <w:t>egyetemi tanársegéd,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Az Európai Külügyi Szolgálat szerepe - út a szorosabb európai integráció felé?</w:t>
      </w:r>
    </w:p>
    <w:p w:rsidR="00D71DF5" w:rsidRDefault="00D71DF5" w:rsidP="00AD2602">
      <w:pPr>
        <w:jc w:val="both"/>
      </w:pPr>
    </w:p>
    <w:p>
      <w:pPr>
        <w:pBdr/>
        <w:spacing w:before="240" w:after="240" w:line="240" w:lineRule="auto"/>
        <w:ind w:left="0" w:right="0"/>
        <w:jc w:val="left"/>
      </w:pPr>
      <w:r>
        <w:rPr>
          <w:color w:val="000000"/>
          <w:sz w:val="24"/>
          <w:szCs w:val="24"/>
        </w:rPr>
        <w:t xml:space="preserve">Dolgozatomban az Európai Külügyi Szolgálatnak (EKSZ) az európai integráció fejlődésére gyakorolt hatását kívánom megvizsgálni. Először a történelmi és intézményi előzményeket, és az EK (EU) külkapcsolati intézményrendszerének fejlődését mutatom be. Ezt követően bővebben kitérek arra, hogy milyen tényezők vezettek a főképviselő intézményének, illetve az őt segítő Európai Külügyi Szolgálat megalakulásához.</w:t>
      </w:r>
      <w:r>
        <w:rPr>
          <w:color w:val="000000"/>
          <w:sz w:val="24"/>
          <w:szCs w:val="24"/>
        </w:rPr>
        <w:br/>
        <w:t xml:space="preserve">Az EKSZ szerepét elsősorban abból a szempontból elemzem és értékelem, hogy – működését, hatásköreit tekintve – mennyiben erősítheti ezen intézmény megteremtése egy szorosabb európai integráció megvalósulását. E kérdést elsősorban a többi – az Unió külső tevékenységeinek kivitelezésében meghatározó szerepet játszó – uniós szervvel, illetve intézménnyel való együttműködés, feladat-, és hatáskörmegosztás relációjában kívánom megvizsgálni.</w:t>
      </w:r>
      <w:r>
        <w:rPr>
          <w:color w:val="000000"/>
          <w:sz w:val="24"/>
          <w:szCs w:val="24"/>
        </w:rPr>
        <w:br/>
        <w:t xml:space="preserve">Ez utóbbiak közül is különösképpen a főképviselői tisztséggel szükséges foglalkozni, így részletes bemutatásra kerül Catherine Ashton eddigi munkája is. Meggyőződésem, hogy az Európai Unió jövőbeni sikere múlik a főképviselő azon képességén, hogy teljesíteni tudja a globalizálódó világ kihívásait, melyben az egyes európai országok súlya fokozatosan csökken és további csökkenés várható, ahogy olyan országok, mint Kína, India és Brazília gazdasági és politikai súlyra tesznek szert. Az európai országok egyetlen reménye arra, hogy megtartsák globális befolyásukat, ha együtt cselekszenek az EU-ban. Ezen „külső egység” megteremtésében az Európai Külügyi Szolgálat és Catherine Ashton szerepe kulcsfontosságú.</w:t>
      </w:r>
      <w:r>
        <w:rPr>
          <w:color w:val="000000"/>
          <w:sz w:val="24"/>
          <w:szCs w:val="24"/>
        </w:rPr>
        <w:br/>
        <w:t xml:space="preserve">Az elmúlt 2 év munkája bebizonyította, hogy az EKSZ méltó lehet a szorosabb integrációt elősegítő intézmény címére. A dolgozatban lefolytatott vizsgálódásaim alapján a véleményem az, hogy az EKSZ hatékonyan járulhat hozzá az Unió külső tevékenységeinek sikerességéhez. Ugyanakkor csak félig van igaza azoknak, akik az Unió „szupranacionálisabbá” tételének eszközét látják az EKSZ-ben. Azért gondolom így, mert az EKSZ létrejöttével az EU külpolitikájának külső dimenziója egységesebbnek tűnik harmadik országok szemében, s mindez megkönnyíti a fokozódó külpolitikai nehézségek megoldását. Azonban, az EKSZ működésének belső dimenziója cáfolja a szupranacionális fejlődés melletti érveket hangoztatókat. A belső struktúra, motor, amely hajtja az EKSZ-t éppúgy áll tagállamok küldötteiből, mint az uniós intézmények képviselőiből. Ebből következően az is bekövetkezhet, hogy az EKSZ-t maguk a tagállamok formálják majd saját képükre és nem pedig fordítva. Tehát az EKSZ ténylegesen akkor lesz az európai integrációt elősegítő, azt mélyítő eszköze az EU-nak, ha azt maguk a tagállamok engedik. Ennek az integrációnak a kulcsa a tagállamok részéről az elköteleződési képesség egy magasabb szintű együttműködés megteremtésének irányába. Véleményem szerint azzal, hogy az EKSZ létrejött, a tagországok azt már mindenképpen bebizonyították, hogy készek az elköteleződésre.</w:t>
      </w:r>
    </w:p>
    <w:p>
      <w:pPr>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299745">
    <w:multiLevelType w:val="hybridMultilevel"/>
    <w:lvl w:ilvl="0" w:tplc="199399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299745">
    <w:abstractNumId w:val="7329974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8047456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