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FRUZSINA SZABÓ</w:t>
            </w:r>
          </w:p>
          <w:p w:rsidR="00C275A3" w:rsidRDefault="00A96AEC" w:rsidP="00C275A3">
            <w:pPr>
              <w:pStyle w:val="Hallgatokepzes"/>
            </w:pPr>
            <w:r>
              <w:t>Faculty of 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assistant professor</w:t>
            </w:r>
          </w:p>
          <w:p w:rsidR="00DB4822" w:rsidRDefault="00DB4822" w:rsidP="00E11062">
            <w:pPr>
              <w:pStyle w:val="Konzulensek"/>
            </w:pPr>
            <w:r w:rsidRPr="00DB4822">
              <w:t>Dr. Ildikó Bartha, DE ÁJK</w:t>
            </w:r>
          </w:p>
        </w:tc>
      </w:tr>
      <w:tr w:rsidR="00DB4822" w:rsidTr="00DB4822">
        <w:tc>
          <w:tcPr>
            <w:tcW w:w="9854" w:type="dxa"/>
          </w:tcPr>
          <w:p w:rsidR="00DB4822" w:rsidRPr="00DB4822" w:rsidRDefault="00DB4822" w:rsidP="004D7940">
            <w:pPr>
              <w:pStyle w:val="Konzulensek"/>
            </w:pPr>
            <w:r w:rsidRPr="00DB4822">
              <w:t>Dr. Zsuzsanna Szabó</w:t>
            </w:r>
          </w:p>
          <w:p w:rsidR="00DB4822" w:rsidRDefault="00DB4822" w:rsidP="00E11062">
            <w:pPr>
              <w:pStyle w:val="Konzulensek"/>
            </w:pPr>
            <w:r w:rsidRPr="00DB4822">
              <w:t>professor’s assistant,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Role of the European External Action Service - the way to closer European integration?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essay examines the impact of the European External Action Service (EEAS) on the development of the European integration. First, the historical and institutional precedents, and the development of external institutional system of the EC (EU) are presented. Then it is mentioned in greater details which factors led to the establishment of the institution of the High Representative (HR) and its assisting European External Action Service.</w:t>
      </w:r>
      <w:r>
        <w:rPr>
          <w:color w:val="000000"/>
          <w:sz w:val="24"/>
          <w:szCs w:val="24"/>
        </w:rPr>
        <w:br/>
        <w:t xml:space="preserve">The EEAS’s role is analyzed and assessed primarily from the standpoint that – given its operation and power – how the creation of this institution can strengthen the achievement of a closer European integration. This issue is analyzed especially in relation with cooperation, and division of tasks and power with the other EU bodies and institutions that play decisive role in the implementation of the EU’s external actions.</w:t>
      </w:r>
      <w:r>
        <w:rPr>
          <w:color w:val="000000"/>
          <w:sz w:val="24"/>
          <w:szCs w:val="24"/>
        </w:rPr>
        <w:br/>
        <w:t xml:space="preserve">Among the latter, it is particularly important to deal with the High Representative, so the previous work of Catherine Ashton is presented in detail. I believe that the European Union's future success depends on the HR's ability to meet the challenges of the globalising world in which the weight of each European countries gradually decrease and is expected to decrease further as countries like China, India, and Brazil gain economic and political weight. The only hope for European countries to maintain their global influence is to act together in the EU. The role of the EEAS and Catherine Ashton is essential in the establishment of this ’external unit’.</w:t>
      </w:r>
      <w:r>
        <w:rPr>
          <w:color w:val="000000"/>
          <w:sz w:val="24"/>
          <w:szCs w:val="24"/>
        </w:rPr>
        <w:br/>
        <w:t xml:space="preserve">The work of the last 2 years proved that the EEAS can be worthy of the address of the institution facilitating the closer integration. According to the analysis in this essay, my opinion is that the EEAS can effectively contribute to the success of the Union’s external actions. However, those are only half right who see the EEAS as a mean to make the Union more supranational. I think so because with the establishment of the EEAS the external dimension of the EU’s foreign policy appears to be more coherent in the eyes of third countries, and this facilitates the solution of the increasing difficulties in foreign policy. On the other side, taking into account the internal dimension of the EEAS’s operation, it may also happen that the Member States will form the EEAS to their own image, not the other way around.</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258482">
    <w:multiLevelType w:val="hybridMultilevel"/>
    <w:lvl w:ilvl="0" w:tplc="525807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258482">
    <w:abstractNumId w:val="862584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5226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