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PERCZE</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Béla Szabó</w:t>
            </w:r>
          </w:p>
          <w:p w:rsidR="00DB4822" w:rsidRDefault="00DB4822" w:rsidP="00E11062">
            <w:pPr>
              <w:pStyle w:val="Konzulensek"/>
            </w:pPr>
            <w:r w:rsidRPr="00DB4822">
              <w:t>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Certain features of the modern fiduciary agreements, especially those related to fiducia cum creditore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fiduciary agreements are in the center of the interests in Europe, because they have behaved complex legal formats since the Roman law.</w:t>
      </w:r>
    </w:p>
    <w:p>
      <w:pPr>
        <w:widowControl w:val="on"/>
        <w:pBdr/>
        <w:spacing w:before="240" w:after="240" w:line="240" w:lineRule="auto"/>
        <w:ind w:left="0" w:right="0"/>
        <w:jc w:val="left"/>
      </w:pPr>
      <w:r>
        <w:rPr>
          <w:color w:val="000000"/>
          <w:sz w:val="24"/>
          <w:szCs w:val="24"/>
        </w:rPr>
        <w:t xml:space="preserve">The difficulty of this subject derives from different roots. One of them is that the fiduciary agreements stopped being used very early in the Roman law, secondly they are not ruled coherently under different laws in Europe. As a result, we are faced with a very complex legal issue.</w:t>
      </w:r>
    </w:p>
    <w:p>
      <w:pPr>
        <w:widowControl w:val="on"/>
        <w:pBdr/>
        <w:spacing w:before="240" w:after="240" w:line="240" w:lineRule="auto"/>
        <w:ind w:left="0" w:right="0"/>
        <w:jc w:val="left"/>
      </w:pPr>
      <w:r>
        <w:rPr>
          <w:color w:val="000000"/>
          <w:sz w:val="24"/>
          <w:szCs w:val="24"/>
        </w:rPr>
        <w:t xml:space="preserve">It is well known that the fiducia cum creditore contracta was practiced in the classical times of the Roman law, but it was changed by pignus in the postclassical times. In the study I examined why fiducia was preserved in the post-classical times.</w:t>
      </w:r>
    </w:p>
    <w:p>
      <w:pPr>
        <w:widowControl w:val="on"/>
        <w:pBdr/>
        <w:spacing w:before="240" w:after="240" w:line="240" w:lineRule="auto"/>
        <w:ind w:left="0" w:right="0"/>
        <w:jc w:val="left"/>
      </w:pPr>
      <w:r>
        <w:rPr>
          <w:color w:val="000000"/>
          <w:sz w:val="24"/>
          <w:szCs w:val="24"/>
        </w:rPr>
        <w:t xml:space="preserve">Nowadays, the problem is caused by the opposition of mortgage and the transfer of ownership, because in that case the parties transfer property, instead of possessio.</w:t>
      </w:r>
    </w:p>
    <w:p>
      <w:pPr>
        <w:widowControl w:val="on"/>
        <w:pBdr/>
        <w:spacing w:before="240" w:after="240" w:line="240" w:lineRule="auto"/>
        <w:ind w:left="0" w:right="0"/>
        <w:jc w:val="left"/>
      </w:pPr>
      <w:r>
        <w:rPr>
          <w:color w:val="000000"/>
          <w:sz w:val="24"/>
          <w:szCs w:val="24"/>
        </w:rPr>
        <w:t xml:space="preserve">The fiduciary transactions are very common both in Switzerland and in Germany. Seeing that this legal format has been successfully used in other countries I came to conclusion that we would be able to codify and use this legal format as a solution in our legal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71314">
    <w:multiLevelType w:val="hybridMultilevel"/>
    <w:lvl w:ilvl="0" w:tplc="96968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71314">
    <w:abstractNumId w:val="698713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19855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