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ZSANETT SZABÓ</w:t>
            </w:r>
          </w:p>
          <w:p w:rsidR="00C275A3" w:rsidRDefault="00A96AEC" w:rsidP="00C275A3">
            <w:pPr>
              <w:pStyle w:val="Hallgatokepzes"/>
            </w:pPr>
            <w:r>
              <w:t>law</w:t>
            </w:r>
            <w:r>
              <w:br/>
            </w:r>
            <w:r w:rsidR="00E77B23">
              <w:t>Unified, 5.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Papp</w:t>
            </w:r>
          </w:p>
          <w:p w:rsidR="00DB4822" w:rsidRDefault="00DB4822" w:rsidP="00E11062">
            <w:pPr>
              <w:pStyle w:val="Konzulensek"/>
            </w:pPr>
            <w:r w:rsidRPr="00DB4822">
              <w:t>assistant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judgement of the extenuating and aggravating circumstances in connection of the crime against properity between 1920 and 1925, in the case-law of the Debreceni Ítélőtábla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paper I tried to find the answer which circumstances appeared as extenuating and aggravating circumstances in sentencing and what kind of differences were between the legal regulation and the sentencing in practice in this era.</w:t>
      </w:r>
    </w:p>
    <w:p>
      <w:pPr>
        <w:pBdr/>
        <w:spacing w:before="240" w:after="240" w:line="240" w:lineRule="auto"/>
        <w:ind w:left="0" w:right="0"/>
        <w:jc w:val="left"/>
      </w:pPr>
      <w:r>
        <w:rPr>
          <w:color w:val="000000"/>
          <w:sz w:val="24"/>
          <w:szCs w:val="24"/>
        </w:rPr>
        <w:t xml:space="preserve">This period which I examined in the view of criminal justice has a lot of interesting thing because it is a fact that the criminality is influenced by the war, which has been observed not only during the war but after that, too. And this fact also played role in the judgment of offenders.</w:t>
      </w:r>
    </w:p>
    <w:p>
      <w:pPr>
        <w:pBdr/>
        <w:spacing w:before="240" w:after="240" w:line="240" w:lineRule="auto"/>
        <w:ind w:left="0" w:right="0"/>
        <w:jc w:val="left"/>
      </w:pPr>
      <w:r>
        <w:rPr>
          <w:color w:val="000000"/>
          <w:sz w:val="24"/>
          <w:szCs w:val="24"/>
        </w:rPr>
        <w:t xml:space="preserve">That's why I chosed the starting date 1920 and it was the time when the constitutionalism of Hungary has been recovered. And I limited the period until 1925 because in that era it was typical that the criminaly has increased.</w:t>
      </w:r>
    </w:p>
    <w:p>
      <w:pPr>
        <w:pBdr/>
        <w:spacing w:before="240" w:after="240" w:line="240" w:lineRule="auto"/>
        <w:ind w:left="0" w:right="0"/>
        <w:jc w:val="left"/>
      </w:pPr>
      <w:r>
        <w:rPr>
          <w:color w:val="000000"/>
          <w:sz w:val="24"/>
          <w:szCs w:val="24"/>
        </w:rPr>
        <w:t xml:space="preserve">I based my work on the first-instance of the tribunals, the second-instance judgment of the Debreceni Ítélőtábla and the thorough processing of the literature.</w:t>
      </w:r>
    </w:p>
    <w:p>
      <w:pPr>
        <w:pBdr/>
        <w:spacing w:before="240" w:after="240" w:line="240" w:lineRule="auto"/>
        <w:ind w:left="0" w:right="0"/>
        <w:jc w:val="left"/>
      </w:pPr>
      <w:r>
        <w:rPr>
          <w:color w:val="000000"/>
          <w:sz w:val="24"/>
          <w:szCs w:val="24"/>
        </w:rPr>
        <w:t xml:space="preserve">And especially I worked with the archives which belonged to the VII./2. b fon list of the Hajdú Bihar Megyei Levéltár.</w:t>
      </w:r>
    </w:p>
    <w:p>
      <w:pPr>
        <w:pBdr/>
        <w:spacing w:before="240" w:after="240" w:line="240" w:lineRule="auto"/>
        <w:ind w:left="0" w:right="0"/>
        <w:jc w:val="left"/>
      </w:pPr>
      <w:r>
        <w:rPr>
          <w:color w:val="000000"/>
          <w:sz w:val="24"/>
          <w:szCs w:val="24"/>
        </w:rPr>
        <w:t xml:space="preserve">On this basis I made the conclusion that in that era there were important differences between the legal regulation and the sentencing in practice. It mainly appeared in the fact, that in most adjudicated cases the courts considered the 92. § acceptable and extremely low penalty has been imposed by them. I discovered the reasons in the social and economic circumstances of the period, and that between the court levels the judgement of the extenuating and aggravating circumstances was not unified.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188230">
    <w:multiLevelType w:val="hybridMultilevel"/>
    <w:lvl w:ilvl="0" w:tplc="129515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188230">
    <w:abstractNumId w:val="431882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35768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