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VIKTÓRIA DEÁK</w:t>
            </w:r>
          </w:p>
          <w:p w:rsidR="00C275A3" w:rsidRDefault="00A96AEC" w:rsidP="00C275A3">
            <w:pPr>
              <w:pStyle w:val="Hallgatokepzes"/>
            </w:pPr>
            <w:r>
              <w:t>law</w:t>
            </w:r>
            <w:r>
              <w:br/>
            </w:r>
            <w:r w:rsidR="00E77B23">
              <w:t>Unified, 5. semester</w:t>
            </w:r>
          </w:p>
          <w:p w:rsidR="00C265CE" w:rsidRPr="009E5FF1" w:rsidRDefault="00E77B23" w:rsidP="00C275A3">
            <w:pPr>
              <w:pStyle w:val="Hallgatokepzes"/>
              <w:rPr>
                <w:b/>
                <w:caps/>
              </w:rPr>
            </w:pPr>
            <w:r>
              <w:t>University of Debrecen</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Papp</w:t>
            </w:r>
          </w:p>
          <w:p w:rsidR="00DB4822" w:rsidRDefault="00DB4822" w:rsidP="00E11062">
            <w:pPr>
              <w:pStyle w:val="Konzulensek"/>
            </w:pPr>
            <w:r w:rsidRPr="00DB4822">
              <w:t>assistant professor, DE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ministerial responsibility and the the interpellation practice between1861 and 1918</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theme of my paper is perhaps one of the most crucial touchstones of parliamentarism: the responsibility of the government and enhancing its realization by one of the parliamentary controlling instruments, the interpellation in the dualism.</w:t>
      </w:r>
    </w:p>
    <w:p>
      <w:pPr>
        <w:pBdr/>
        <w:spacing w:before="240" w:after="240" w:line="240" w:lineRule="auto"/>
        <w:ind w:left="0" w:right="0"/>
        <w:jc w:val="left"/>
      </w:pPr>
      <w:r>
        <w:rPr>
          <w:color w:val="000000"/>
          <w:sz w:val="24"/>
          <w:szCs w:val="24"/>
        </w:rPr>
        <w:t xml:space="preserve">In my essay I try to find an answer to the question of how the realization of the idea of the responsible government established by the 1848: III. statute was helped by interpellation as a legal institution, moreover whether one can see it suitable enough to declare responsibility. In order to explore this theme, I studied the scientific literature available and I observed the proceedings journals of the House of Representatives and that of the Upper House, and the parliamentary law at that time along with them. While studying, on the one hand, I was searching to find the origins and the changes of interpellation practice, and on the other hand, how it reached its aim described in the parliamentary law, and in connection with it to what extent one can consider interpellation as a legal institution successful.</w:t>
      </w:r>
    </w:p>
    <w:p>
      <w:pPr>
        <w:pBdr/>
        <w:spacing w:before="240" w:after="240" w:line="240" w:lineRule="auto"/>
        <w:ind w:left="0" w:right="0"/>
        <w:jc w:val="left"/>
      </w:pPr>
      <w:r>
        <w:rPr>
          <w:color w:val="000000"/>
          <w:sz w:val="24"/>
          <w:szCs w:val="24"/>
        </w:rPr>
        <w:t xml:space="preserve">Having read more than 500 interpellations, I arrived at the conclusion that it was primarily the parliamentary practice that meaningfully affected the development of this legal institution. Then, although it was a highly popular controlling instrument in the hands of the opposing parties primarily because of the indifference of the government – that basically manifested itself in the delay and absence of the replies to the interpellations –, interpellation was simply a dialogue between the administration and the opposition, it was able to draw the attention of the government to several important questions, but it was not enough on its own to declare responsibility.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4957555">
    <w:multiLevelType w:val="hybridMultilevel"/>
    <w:lvl w:ilvl="0" w:tplc="3998164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4957555">
    <w:abstractNumId w:val="3495755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9070123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