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FALUSI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Siska</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Revolution and War of Independence of 1956 through the Investigation of the Polish-Hungarian Relationship (1956 across fifty-six years)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reading the article you may justifiably ask: why did she choose the so many times and in every ways told topic of 1956?</w:t>
      </w:r>
      <w:r>
        <w:rPr>
          <w:color w:val="000000"/>
          <w:sz w:val="24"/>
          <w:szCs w:val="24"/>
        </w:rPr>
        <w:br/>
        <w:t xml:space="preserve">The answer begins somewhere around here: until something exists, we do never feel its importance, but we can miss it very much after we have already lost it. So it is only called natural in our everyday life, so it often hides silently in the background. Perhaps most of the people do not even pay any attention to it… In my opininon the Polish – Hungarian relationship is something like that. It has been existing since hundreds of years and finally became a sort of uniqe in the East- European Region. So it is a topic that is worth cherishing and paying attention to.</w:t>
      </w:r>
      <w:r>
        <w:rPr>
          <w:color w:val="000000"/>
          <w:sz w:val="24"/>
          <w:szCs w:val="24"/>
        </w:rPr>
        <w:br/>
        <w:t xml:space="preserve">The center of my scrutiny is mainly researching the Polish- Hungarian connection. However there are several main joint subjects from the beginning to nowadays, I emphasised the revolution and war of independence of 1956 according to it’s topicality.</w:t>
      </w:r>
      <w:r>
        <w:rPr>
          <w:color w:val="000000"/>
          <w:sz w:val="24"/>
          <w:szCs w:val="24"/>
        </w:rPr>
        <w:br/>
        <w:t xml:space="preserve">Consequently, the principal object of my dissertation is to demonstrate the history, particularly the legal history of the two nations over V. chapters. But what is the reason why their fates can be told so parallel? Firstly, I wrote about the Polish happenings, which influenced Hungarian people in 1956, in my treatise. Then I itemized how the reactions appeared in certain domestic legal provisions. On the other hand I investigated the international community’s reactions to the revolution and the outcome of it basically in foreign sources as well. For example I wrote about the Soviet intervention, the proceeding of Imre Nagy and his companions, and the so called thaw period interpreted by the Polish nation’s voice.</w:t>
      </w:r>
      <w:r>
        <w:rPr>
          <w:color w:val="000000"/>
          <w:sz w:val="24"/>
          <w:szCs w:val="24"/>
        </w:rPr>
        <w:br/>
        <w:t xml:space="preserve">Because the idea came: sooner or later, but all roads lead to the Polish. In this discussion there is an analysis-synthesis part as well, according to the "revolution or counter-revolution" problem, which in my opinion, is an essential part of the subject - for decades.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92158">
    <w:multiLevelType w:val="hybridMultilevel"/>
    <w:lvl w:ilvl="0" w:tplc="53624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92158">
    <w:abstractNumId w:val="27592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573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