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EORY-TOTH</w:t>
            </w:r>
          </w:p>
          <w:p w:rsidR="00C275A3" w:rsidRDefault="00A96AEC" w:rsidP="00C275A3">
            <w:pPr>
              <w:pStyle w:val="Hallgatokepzes"/>
            </w:pPr>
            <w:r>
              <w:t>Slavic Studies</w:t>
            </w:r>
            <w:r>
              <w:br/>
            </w:r>
            <w:r w:rsidR="00E77B23">
              <w:t>MA, 3.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Tunde Szabo</w:t>
            </w:r>
          </w:p>
          <w:p w:rsidR="00DB4822" w:rsidRDefault="00DB4822" w:rsidP="00E11062">
            <w:pPr>
              <w:pStyle w:val="Konzulensek"/>
            </w:pPr>
            <w:r w:rsidRPr="00DB4822">
              <w:t>associate 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Structuring and Symbolizing Role of Ornamentation in A. Remizov's Novel "Sisters of the Cross"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Remizov’s most well known works, Sisters of the Cross, belongs among the “St. Petersburg” texts as a 20th-century version and addition to the group. Its main character, Marakulin, who has just lost his job as a petty clerk, can be grouped together with the “little man” created in 19th-century Russian literary tradition. The character of the hero, which has both mythological and autobiographical features, is permeated by the subcultural spaces which he inhabits. Remizov’s novel is not only a description of society, but also a representative piece of ornamental prose. Despite the differences in emphasis (musicality, mythological or spatial features), theoretical studies in ornamental prose concur in that it is founded on repetitions.</w:t>
      </w:r>
      <w:r>
        <w:rPr>
          <w:color w:val="000000"/>
          <w:sz w:val="24"/>
          <w:szCs w:val="24"/>
        </w:rPr>
        <w:br/>
        <w:t xml:space="preserve">This paper demonstrates how the ornamentation, created through different types of repetitions and also manifested on various different levels, has both structuring and symbolizing functions. For instance, the chronological designations connected to pagan and church holidays do not only divide the plot into sections, but they also lend the whole sujet a symbolic meaning and position it closer to a mythological way of thinking. The same applies to the motif of the cross in the title of the work, which does not only link the planes of the present and the past, but also constitutes the symbolic starting point of Marakulin’s fate through the story of the suffering of the main character’s mother.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57540">
    <w:multiLevelType w:val="hybridMultilevel"/>
    <w:lvl w:ilvl="0" w:tplc="45953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57540">
    <w:abstractNumId w:val="36357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521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