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PINTER</w:t>
            </w:r>
          </w:p>
          <w:p w:rsidR="00C275A3" w:rsidRDefault="00A96AEC" w:rsidP="00C275A3">
            <w:pPr>
              <w:pStyle w:val="Hallgatokepzes"/>
            </w:pPr>
            <w:r>
              <w:t>Engineer of Viticulture and Enology</w:t>
            </w:r>
            <w:r>
              <w:br/>
            </w:r>
            <w:r w:rsidR="00E77B23">
              <w:t>BSc, 5.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Peter Tamas Nagy</w:t>
            </w:r>
          </w:p>
          <w:p w:rsidR="00DB4822" w:rsidRDefault="00DB4822" w:rsidP="00E11062">
            <w:pPr>
              <w:pStyle w:val="Konzulensek"/>
            </w:pPr>
            <w:r w:rsidRPr="00DB4822">
              <w:t>associate professor, KRF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biostimulators on nutrient uptake of grapes (bluefrankish) and major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Nowdays the biostimulators are widely used in vineyard and orchard nutrition. Despite of this, there is a very little experience about their application in Hungary. It’s especially true that for application in vineyards. Therefore, the aim of our study is to provide further results in this topic.</w:t>
      </w:r>
    </w:p>
    <w:p>
      <w:pPr>
        <w:pBdr/>
        <w:spacing w:before="240" w:after="240" w:line="240" w:lineRule="auto"/>
        <w:ind w:left="0" w:right="0"/>
        <w:jc w:val="left"/>
      </w:pPr>
      <w:r>
        <w:rPr>
          <w:color w:val="000000"/>
          <w:sz w:val="24"/>
          <w:szCs w:val="24"/>
        </w:rPr>
        <w:t xml:space="preserve">The trial was located in Noszvaj 023/91 topography number. The total area of experiment was 0.3 hectare devided three equal parts according to the treatments. The Kékfrankos vineyard was planted in 1988at a spacing of 3 x 1 m.</w:t>
      </w:r>
    </w:p>
    <w:p>
      <w:pPr>
        <w:pBdr/>
        <w:spacing w:before="240" w:after="240" w:line="240" w:lineRule="auto"/>
        <w:ind w:left="0" w:right="0"/>
        <w:jc w:val="left"/>
      </w:pPr>
      <w:r>
        <w:rPr>
          <w:color w:val="000000"/>
          <w:sz w:val="24"/>
          <w:szCs w:val="24"/>
        </w:rPr>
        <w:t xml:space="preserve">Beside of the control a mixed of amino acid and a live algae suspension was used as spraying treatments. One treatment parcel was 1089 nm2 consisted of 300 vines. The application time and doses act on the producer’s offer and vine phenological stages. Soil and plant analytical measurements and field observations were made under the experiment.</w:t>
      </w:r>
    </w:p>
    <w:p>
      <w:pPr>
        <w:pBdr/>
        <w:spacing w:before="240" w:after="240" w:line="240" w:lineRule="auto"/>
        <w:ind w:left="0" w:right="0"/>
        <w:jc w:val="left"/>
      </w:pPr>
      <w:r>
        <w:rPr>
          <w:color w:val="000000"/>
          <w:sz w:val="24"/>
          <w:szCs w:val="24"/>
        </w:rPr>
        <w:t xml:space="preserve">The yield and studied inner parameters were increased by the biostimulators. Leaf analysis confirmed that the biostimulators had a favourable effect on nutrient uptake by the vine-stocks and resulted greener and higher chlrophyll content in leaves. Based on our data, it was established that the biostimulators had a positive impact for size of berries and the cluster mass. It was especially true used live algae suspension.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7811">
    <w:multiLevelType w:val="hybridMultilevel"/>
    <w:lvl w:ilvl="0" w:tplc="97664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7811">
    <w:abstractNumId w:val="57807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589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