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 JÓZSEF</w:t>
            </w:r>
          </w:p>
          <w:p w:rsidR="00C275A3" w:rsidRDefault="00A96AEC" w:rsidP="00C275A3">
            <w:pPr>
              <w:pStyle w:val="Hallgatokepzes"/>
            </w:pPr>
            <w:r>
              <w:t>Büntetés-végrehajtás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SCHMEHL DÁVID JÁNOS</w:t>
            </w:r>
          </w:p>
          <w:p w:rsidR="00DB4822" w:rsidRDefault="00C275A3" w:rsidP="004D7940">
            <w:pPr>
              <w:pStyle w:val="Hallgatokepzes"/>
            </w:pPr>
            <w:r>
              <w:t>büntetés-végrehajtás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Rendészettudományi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Czenczer Orsolya bv. szézados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bűntetés - végrehajtás belső ellátása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dolgozatunk kutatási témája a büntetés-végrehajtás belső ellátása körét vizsgálja, azon belül is – kiemelten – a hazai büntetés-végrehajtásban résztvevő gazdasági társaságok bemutatását, valamint a belső ellátás folyamatának végigkövetését igyekszik bemutatni.</w:t>
      </w:r>
      <w:r>
        <w:rPr>
          <w:color w:val="000000"/>
          <w:sz w:val="24"/>
          <w:szCs w:val="24"/>
        </w:rPr>
        <w:br/>
        <w:t xml:space="preserve">A dolgozatunk 6 főfejezetből áll, rövid bevezetést követően a rátérünk a bv gazdálkodásának rövid történeti-, jogi- és gazdasági áttekintésére.</w:t>
      </w:r>
      <w:r>
        <w:rPr>
          <w:color w:val="000000"/>
          <w:sz w:val="24"/>
          <w:szCs w:val="24"/>
        </w:rPr>
        <w:br/>
        <w:t xml:space="preserve">Ezt követi III. fejezetként a dolgozat gerince, amely a hazai bv-ben résztvevő gazdasági társaságok bemutatásából, valamint azok jogi és gazdasági helyzetértékeléséből áll. A 12 gazdasági társaságot, közel 20 tevékenységi körre lebontva alapos részletességgel vizsgáljuk. A 12 Kft. eltérő képet mutat, ennek jellegét elsődlegesen tevékenységi körük határozza meg. Ezért fő meghatározó a tevékenységi struktúrájuk szerinti csoportosítás: bútoripar (Budapesti Faipari Termelő és Kereskedelmi Kft.), textilipar (Sopronkőhidai Kft., Kalocsai Konfekcióipari Kft., Ábránd-Textil Kft.), mezőgazdaság (Pálhalmai Agrospeciál Kft., Állampusztai Kft, Annamajori Kft., Nagyfa-Alföld Kft.), cipőipar(Ipoly Cipőgyár Kft.), papír (Duna Papír Kft.), vegyes ipar(Nostra Kft., Duna-Mix Kft.).</w:t>
      </w:r>
      <w:r>
        <w:rPr>
          <w:color w:val="000000"/>
          <w:sz w:val="24"/>
          <w:szCs w:val="24"/>
        </w:rPr>
        <w:br/>
        <w:t xml:space="preserve">Ezt követően a IV. fejezetben kerül sor a már megismert gazdasági társaságok által biztosított belső ellátási folyamat végigkövetésére, kezdve a közbeszerzési eljárási rendtől egészen a belső ellátásban résztvevő termékek elosztásáig.</w:t>
      </w:r>
      <w:r>
        <w:rPr>
          <w:color w:val="000000"/>
          <w:sz w:val="24"/>
          <w:szCs w:val="24"/>
        </w:rPr>
        <w:br/>
        <w:t xml:space="preserve">A dolgozatunk legértékesebb és legfontosabb része az IV. V. és VI fejezet, amely az eljárásrendet, a folyamatban levő fejlesztéseket (Duna-Mix Kft.–nyomdagép, hulladékgazdálkodás; Ipoly Cipőgyár Kft.–fröccsöntött talpszerkezet; Pálhalmai Agrospeciál Kft.–mosoda, zöldségfeldolgozó üzem, hulladékgazdálkodás; Annamajori Kft.–péküzem; BUFA Kft.–CNC gépsor, hulladékgazdálkodás; Ábárnd-Textil Kft. – hulladékgazdálkodás; Duna Papír Kft.–irodai adathordozók megsemmisítése; Állampusztai Kft.–bontott csirke; , terveket, javaslatainkat (sertés feldolgozottsági fokának növelése, tejüzem létrehozása, savanyító üzemek létrehozása, tészta tésztagyártási technológia megteremtése, fogvatartotti boltok élelmiszerrel való ellátása, személyi állománynak kedvezményes értékesítés, ipari tevékenység bővítése -radiátor, acélszerkezet, bútor, papír-, központi képzési rendszer, központi élelmiszer ellátás) tartalmazza.</w:t>
      </w:r>
      <w:r>
        <w:rPr>
          <w:color w:val="000000"/>
          <w:sz w:val="24"/>
          <w:szCs w:val="24"/>
        </w:rPr>
        <w:br/>
        <w:t xml:space="preserve">A következő évek további feladata kell, hogy legyen a büntetés-végrehajtás belső ellátás mintájára a központi ellátás növelése a rendvédelmi szervek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76874">
    <w:multiLevelType w:val="hybridMultilevel"/>
    <w:lvl w:ilvl="0" w:tplc="57676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76874">
    <w:abstractNumId w:val="35176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838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