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CSUDAI TÜNDE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Smuk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dékánhelyettes,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mércék a korlátozásban - Az írott sajtó állami kontrollja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témaválasztásának okát legfőképpen az aktualitás, tehát az új médiatörvény (2010. évi CLXXXV. tv) által meghozott változások adták, valamint a kérdés; hogyan és mennyire vannak korlátozva azok az információk, tények, amelyekkel rendszeresen szembesülünk az írott/online sajtón keresztül.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jogalkotó az új törvényben hatósági felügyelet alá helyezte ezeket a termékeket, mely újdonságnak számít hazánkban, hiszen az 1997-ben megszűnt „ügyészi cenzúra” óta egy szervnek sem volt az írott/online sajtó tartalma felett felügyeleti jogköre. E tárgykör megvizsgálásának érdekében is meghozott 165/2011. (XII. 20.) Alkotmánybírósági határozat alapján az audiovizuális eszközöknek és írott/online sajtótermékeknek eltérőek a korlátozási mércéi.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írott/online sajtó Nemzeti Média és Hírközlési Hatóság által ellátott felügyeletét az Alkotmánybíróság a fent említett határozatban alkotmányellenesnek minősítette. A testület szerint ugyanis, a „társadalmi folyamatokra különleges hatással bíró audiovizuális média esetében szükséges, és arányos korlátozás az effajta sajátos hatósági fellépés biztosítása”, azonban a nyomtatott és az internetes sajtó esetében ez a sajtószabadság aránytalan korlátozásának minősül. </w:t>
      </w:r>
      <w:r>
        <w:rPr>
          <w:color w:val="000000"/>
          <w:sz w:val="24"/>
          <w:szCs w:val="24"/>
        </w:rPr>
        <w:br/>
        <w:br/>
        <w:t xml:space="preserve">A testület két esetet említ az állásfoglalás alátámasztásának érdekében; a befolyás, valamint a korlátolt frekvenciaforrások érvét. Eszerint az audiovizuális eszközöknek sokkal nagyobb a befolyásuk a társadalomra, mint az írott/online sajtótermékeknek, a korlátolt frekvenciaforrások miatt pedig a fogyasztónak a viszonylag kevés szolgáltatás miatt nincs elég nagy választási szabadsága.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frekvenciaszűkösség érve azonban 2013-tól már nem állja meg a helyét, ugyanis hazánk teljesen átáll a digitális jeltovábbításra, így az elérhető szolgáltatások száma megnövekedik. Ennek ellenére a testület tartja azon álláspontját, hogy a tartalom feletti felügyelet csak az audiovizuális eszközök felett alkotmányos, az írott/online sajtótermékek felett viszont nem. Így bár bizonyos alapjogok, a sajtószabadság, a személyhez fűződő jogok mellett a közérdek, a fiatalkorúak védelme elfogadott a televízió tekintetében, azonban sántít az újságok és az internet esetében és joghézagok keletkeznek az írott/online sajtót érintő magyar médiaszabályozás rendszerében. </w:t>
      </w:r>
      <w:r>
        <w:rPr>
          <w:color w:val="000000"/>
          <w:sz w:val="24"/>
          <w:szCs w:val="24"/>
        </w:rPr>
        <w:br/>
        <w:t xml:space="preserve">Célom az volt, hogy bemutassam a nyomtatott sajtót jelenleg érintő korlátozási típusokat, valamint szemléltessem azokat a joghézagokat, amelyek érintik annak szabályozását.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59034">
    <w:multiLevelType w:val="hybridMultilevel"/>
    <w:lvl w:ilvl="0" w:tplc="78083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59034">
    <w:abstractNumId w:val="612590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271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