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CSUDAI</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Smuk</w:t>
            </w:r>
          </w:p>
          <w:p w:rsidR="00DB4822" w:rsidRDefault="00DB4822" w:rsidP="00E11062">
            <w:pPr>
              <w:pStyle w:val="Konzulensek"/>
            </w:pPr>
            <w:r w:rsidRPr="00DB4822">
              <w:t>associate professor, vice dean,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Divergent standards in restrict - The government control of the written press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cause of my thesis topic selection is actuality, in fact those changes, which are made by the New Media Law in 2010. The question is; how information and facts are controlled by the government, which we are regularly confronted in the written/online press. In the new law the legislature placed these products under supervision.</w:t>
      </w:r>
      <w:r>
        <w:rPr>
          <w:color w:val="000000"/>
          <w:sz w:val="24"/>
          <w:szCs w:val="24"/>
        </w:rPr>
        <w:br/>
        <w:br/>
        <w:t xml:space="preserve">This is novelty in our country, the last supervisor was the prokuratura, but this supervision was broken off in 1997, and since then no institution had control over the matter. The Constitutional Court observed this subject, and in its 165/2011. resolution the institution settled, that the audiovisual media, and the written/online press have two different standards in controlling.</w:t>
      </w:r>
    </w:p>
    <w:p>
      <w:pPr>
        <w:widowControl w:val="on"/>
        <w:pBdr/>
        <w:spacing w:before="240" w:after="240" w:line="240" w:lineRule="auto"/>
        <w:ind w:left="0" w:right="0"/>
        <w:jc w:val="left"/>
      </w:pPr>
      <w:r>
        <w:rPr>
          <w:color w:val="000000"/>
          <w:sz w:val="24"/>
          <w:szCs w:val="24"/>
        </w:rPr>
        <w:t xml:space="preserve">The written/online press was supervised by The National Media and Infocommunications Autority, but the Constitutional Court made it clear in its resolution, that this activity is unconstitutional. The syndicate claimed, that the audiovisual media have specific effect on processes in society, so this kind of authority supervision is necessary and proportional, but in the case of written/online press this would be disproportional restriction. </w:t>
      </w:r>
      <w:r>
        <w:rPr>
          <w:color w:val="000000"/>
          <w:sz w:val="24"/>
          <w:szCs w:val="24"/>
        </w:rPr>
        <w:br/>
        <w:t xml:space="preserve">The body mentions two cases to underpin its claim; their influence and restricted frequencies. Accordingly, audiovisual tools have much more influence on society then written/online press. Furthermore, due to restricted frequencies the consumer doesn’t have enough freedom of alternatives.</w:t>
      </w:r>
    </w:p>
    <w:p>
      <w:pPr>
        <w:widowControl w:val="on"/>
        <w:pBdr/>
        <w:spacing w:before="240" w:after="240" w:line="240" w:lineRule="auto"/>
        <w:ind w:left="0" w:right="0"/>
        <w:jc w:val="left"/>
      </w:pPr>
      <w:r>
        <w:rPr>
          <w:color w:val="000000"/>
          <w:sz w:val="24"/>
          <w:szCs w:val="24"/>
        </w:rPr>
        <w:t xml:space="preserve">The argument of lack of frequencies, however doesn’t stand on its own from 2013. Because our country converts to transmission of digital signals, thus the number of available services will rise. Despite of that, the syndicate keeps its point, that the supervision only constitutional above audiovisual tools, and unconstitutional above written/online press.</w:t>
      </w:r>
    </w:p>
    <w:p>
      <w:pPr>
        <w:widowControl w:val="on"/>
        <w:pBdr/>
        <w:spacing w:before="240" w:after="240" w:line="240" w:lineRule="auto"/>
        <w:ind w:left="0" w:right="0"/>
        <w:jc w:val="left"/>
      </w:pPr>
      <w:r>
        <w:rPr>
          <w:color w:val="000000"/>
          <w:sz w:val="24"/>
          <w:szCs w:val="24"/>
        </w:rPr>
        <w:t xml:space="preserve">So beside certain human rights, freedom of the press, and personality rights are recognized in the world of audiovisual media, but limps in the world of written/online press, and loopholes are appearing in this side of the Hungarian media system. My aim was to introduce the types of restriction in written press, furthermore I intended to show those loopholes, which touch the regulation.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08364">
    <w:multiLevelType w:val="hybridMultilevel"/>
    <w:lvl w:ilvl="0" w:tplc="21059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08364">
    <w:abstractNumId w:val="687083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143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