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KELEMEN</w:t>
            </w:r>
          </w:p>
          <w:p w:rsidR="00C275A3" w:rsidRDefault="00A96AEC" w:rsidP="00C275A3">
            <w:pPr>
              <w:pStyle w:val="Hallgatokepzes"/>
            </w:pPr>
            <w:r>
              <w:t>jurist</w:t>
            </w:r>
            <w:r>
              <w:br/>
            </w:r>
            <w:r w:rsidR="00E77B23">
              <w:t>Unified, 5.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Kukorelli</w:t>
            </w:r>
          </w:p>
          <w:p w:rsidR="00DB4822" w:rsidRDefault="00DB4822" w:rsidP="00E11062">
            <w:pPr>
              <w:pStyle w:val="Konzulensek"/>
            </w:pPr>
            <w:r w:rsidRPr="00DB4822">
              <w:t>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termination of Actio popularis or is this a deprivation of suveren rights?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XXXII. law about the Constitution Court from 1989 came into effect on 30th October 1989. This law created an insitution that didn’t have a premodel in our public law establishment. Before the Administrative Court that was created in Januar 1897 and the Constitutional Council that was included into the constitution in 1983 and came into operation in 1984 were responsible for part functions of the constitutional law. Also important to review the actions of the National Roundtable negotiations regarding the Constitutional Court and in it the post norm control to be able to get a clear understanding of why the legislator created a wide abstract norm contol iniciative opportunity in 1989.</w:t>
      </w:r>
      <w:r>
        <w:rPr>
          <w:color w:val="000000"/>
          <w:sz w:val="24"/>
          <w:szCs w:val="24"/>
        </w:rPr>
        <w:br/>
        <w:t xml:space="preserve">The Court of Justice that started its work in 1990 became more than constitutional counterweight thanks to the institution of the actio popularis. The fact that it assisteed to the extension of the contet of fundamental rights of many constitution state institution is a proof. Many so called basic regulation can thank its existence to the institution of actio popularis. So it’s undoubtedly true that, in the point of view of the configuration of the constitutional state of Hungary an essential institution was terminated with the changes that came into effect on 01 Januar 2012.</w:t>
      </w:r>
      <w:r>
        <w:rPr>
          <w:color w:val="000000"/>
          <w:sz w:val="24"/>
          <w:szCs w:val="24"/>
        </w:rPr>
        <w:br/>
        <w:t xml:space="preserve">With the introduction of the real constitution law complaint and the re-regulation of the constitutional law the legislatorcompensated his old debt, because with it he really did create the possibility for a concrete norm control. According to the 26th paragraph of the criminal code, special constitutional law complaint is something that the legislator tried to substitute the lack of the actio popularis with. But the result of last year shows that the Hungarian Court of Justice follows the admission art of the similar institutions of the German Court of Justice. That’s why it interprets the rulings of the law without much leeway, and because or this- as István Stumpf makes it clear in his dissent,- constitutional deficit will evolve.</w:t>
      </w:r>
      <w:r>
        <w:rPr>
          <w:color w:val="000000"/>
          <w:sz w:val="24"/>
          <w:szCs w:val="24"/>
        </w:rPr>
        <w:br/>
        <w:t xml:space="preserve">In comparison, the possible initiative circle of the subsequent norm control had narrowed down. It is questionable if the new system will be able to serve the constitutional state as effectively as the previous one did since the jurisdiction of Ombudsman has not been controlled normatively. So its own role sentiment and proposal opportunity of the subsequent norm control in Hungary depends on the Ombudsman.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01334">
    <w:multiLevelType w:val="hybridMultilevel"/>
    <w:lvl w:ilvl="0" w:tplc="34183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01334">
    <w:abstractNumId w:val="298013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57787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