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GÖMBÖS</w:t>
            </w:r>
          </w:p>
          <w:p w:rsidR="00C275A3" w:rsidRDefault="00A96AEC" w:rsidP="00C275A3">
            <w:pPr>
              <w:pStyle w:val="Hallgatokepzes"/>
            </w:pPr>
            <w:r>
              <w:t>European and International Administration</w:t>
            </w:r>
            <w:r>
              <w:br/>
            </w:r>
            <w:r w:rsidR="00E77B23">
              <w:t>MSc, 3.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Horváthy</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More coherence in complexity?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Union – as a key player of the global chess-board – can only face up to the different global challenges and issues with its effective, active and credible international role. Knowing this, the Treaty of Lisbon has introduced a number of reforms at the field of foreign and security policy, which make it easier for the EU to be more active and coherent in its approach. In this reform process the appointment of an EU High Representative for Foreign Affairs and Security Policy (High Representative) and the establishment of the European External Action Service (EEAS), which was built up round the High Representative, have great significance.</w:t>
      </w:r>
    </w:p>
    <w:p>
      <w:pPr>
        <w:pBdr/>
        <w:spacing w:before="240" w:after="240" w:line="240" w:lineRule="auto"/>
        <w:ind w:left="0" w:right="0"/>
        <w:jc w:val="left"/>
      </w:pPr>
      <w:r>
        <w:rPr>
          <w:color w:val="000000"/>
          <w:sz w:val="24"/>
          <w:szCs w:val="24"/>
        </w:rPr>
        <w:t xml:space="preserve">The study is examining, through the complex and detailed analysis of the reforms, the question are: could the European Union really be able to play the global game in more integrated and more effective way? Does the more coherent european foreign policy improve the EU’s political power in the world?</w:t>
      </w:r>
    </w:p>
    <w:p>
      <w:pPr>
        <w:pBdr/>
        <w:spacing w:before="240" w:after="240" w:line="240" w:lineRule="auto"/>
        <w:ind w:left="0" w:right="0"/>
        <w:jc w:val="left"/>
      </w:pPr>
      <w:r>
        <w:rPr>
          <w:color w:val="000000"/>
          <w:sz w:val="24"/>
          <w:szCs w:val="24"/>
        </w:rPr>
        <w:t xml:space="preserve">Through the exposition of current reforms toward amore coherent european foreign policy, the analysis of the High Representative shall be given principal role. How does the High Representative reduce the European Union’s fragmented international appearance? What are the connections among the European institutions and the High Representative? How many „hats” does the lady wear?</w:t>
      </w:r>
    </w:p>
    <w:p>
      <w:pPr>
        <w:pBdr/>
        <w:spacing w:before="240" w:after="240" w:line="240" w:lineRule="auto"/>
        <w:ind w:left="0" w:right="0"/>
        <w:jc w:val="left"/>
      </w:pPr>
      <w:r>
        <w:rPr>
          <w:color w:val="000000"/>
          <w:sz w:val="24"/>
          <w:szCs w:val="24"/>
        </w:rPr>
        <w:t xml:space="preserve">After examined this study, the new diplomatic service round the High Representative, the EEAS. This paper places great emphasis on the development of the EEAS surrounding the struggle for power between the EU institutions. Taking the sui generis status of the EEAS account, the study has special attention to the EEAS’s role in the EU’s institutional structure and the problems of democratic accountability. The competences in the field of foreign and security policy are confused, but we can say that the Treaty of Lisbon and the new institutional and legal frameworks based on the Treaty make great opportunities to the European foreign policy. These reforms open a window to a more coherent and more effective European role in the global plays.</w:t>
      </w:r>
    </w:p>
    <w:p>
      <w:pPr>
        <w:pBdr/>
        <w:spacing w:before="240" w:after="240" w:line="240" w:lineRule="auto"/>
        <w:ind w:left="0" w:right="0"/>
        <w:jc w:val="left"/>
      </w:pPr>
      <w:r>
        <w:rPr>
          <w:color w:val="000000"/>
          <w:sz w:val="24"/>
          <w:szCs w:val="24"/>
        </w:rPr>
        <w:t xml:space="preserve">The research’s results in the form of an unusually conclusion does not need to be summarized. Based on the High Representative’s positive evaluation of the EEAS, which has done so far a lot, the study closed with thoughts about the EEAS’s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42147">
    <w:multiLevelType w:val="hybridMultilevel"/>
    <w:lvl w:ilvl="0" w:tplc="99466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42147">
    <w:abstractNumId w:val="84142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149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