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GABRIELLA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KOVÁCS VIKTÓRIA</w:t>
            </w:r>
          </w:p>
          <w:p w:rsidR="00DB4822" w:rsidRDefault="00C275A3" w:rsidP="004D7940">
            <w:pPr>
              <w:pStyle w:val="Hallgatokepzes"/>
            </w:pPr>
            <w:r>
              <w:t>Jogász</w:t>
            </w:r>
            <w:r w:rsidR="00A96AEC">
              <w:br/>
              <w:t>Osztatlan, 9.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Deák Ferenc Állam- és Jogtudományi Kar</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Jobbágyi Gábor</w:t>
            </w:r>
          </w:p>
          <w:p w:rsidR="00DB4822" w:rsidRDefault="00DB4822" w:rsidP="00E11062">
            <w:pPr>
              <w:pStyle w:val="Konzulensek"/>
            </w:pPr>
            <w:r w:rsidRPr="00DB4822">
              <w:t>egyetemi tanár,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HIV/AIDS fertőzöttek betegjogai és személyiségi jogai a magyar egészségügyi ellátásban és büntetés-végrehajtási intézetekben, valamint az ebből eredő polgári jogi felelősségi kérdések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HIV/AIDS fertőzöttek betegjogai és személyiségi jogai a magyar egészségügyi ellátásban és büntetés-végrehajtási intézetekben, valamint az ebből eredő polgári jogi felelősségi kérdések</w:t>
      </w:r>
    </w:p>
    <w:p>
      <w:pPr>
        <w:pBdr/>
        <w:spacing w:before="240" w:after="240" w:line="240" w:lineRule="auto"/>
        <w:ind w:left="0" w:right="0"/>
        <w:jc w:val="left"/>
      </w:pPr>
      <w:r>
        <w:rPr>
          <w:color w:val="000000"/>
          <w:sz w:val="24"/>
          <w:szCs w:val="24"/>
        </w:rPr>
        <w:br/>
        <w:t xml:space="preserve">Az orvosi jog nem önálló jogág, hanem egy komplex, koordinációs, viszonylagosan önálló jogterület, amelynek szoros kapcsolata van más jogágakkal, különösen a polgári joggal. </w:t>
      </w:r>
    </w:p>
    <w:p>
      <w:pPr>
        <w:pBdr/>
        <w:spacing w:before="240" w:after="240" w:line="240" w:lineRule="auto"/>
        <w:ind w:left="0" w:right="0"/>
        <w:jc w:val="left"/>
      </w:pPr>
      <w:r>
        <w:rPr>
          <w:color w:val="000000"/>
          <w:sz w:val="24"/>
          <w:szCs w:val="24"/>
        </w:rPr>
        <w:t xml:space="preserve">Dolgozatunk kezdő fejezetében röviden vizsgáljuk a HIV/ AIDS betegség kialakulását, majd a további fejezetekben rátérünk e betegségben szenvedők polgári jogi- személyiségi jogainak, betegjogainak érvényesülésére, valamint ezzel összefüggésben érvényesülő egyes alapjogok vizsgálatára. </w:t>
      </w:r>
    </w:p>
    <w:p>
      <w:pPr>
        <w:pBdr/>
        <w:spacing w:before="240" w:after="240" w:line="240" w:lineRule="auto"/>
        <w:ind w:left="0" w:right="0"/>
        <w:jc w:val="left"/>
      </w:pPr>
      <w:r>
        <w:rPr>
          <w:color w:val="000000"/>
          <w:sz w:val="24"/>
          <w:szCs w:val="24"/>
        </w:rPr>
        <w:t xml:space="preserve">Dolgozatunk jelentős részét teszi ki a kártérítési felelősség a HIV- vel történő megfertőzés módjai tükrében, különös tekintettel a szexuális partner felelősségére és az állam felelősségére. A Ptk. felelősségre vonatkozó általános érvényű generálklauzulája értelmében megállapítottuk, hogy az AIDS vírushordozó egy másik személy megfertőzésével jogellenesen a másik személy súlyos egészségkárosodását idézi elő, nyilvánvalóan nem úgy járt el, ahogyan az adott helyzetben általában elvárható. Következtetéseink szerint a kártérítési felelősség megállapításának valamennyi feltétele fennáll. Az állami kártalanítás feltétele az életben, az egészségben, vagy testi épségben szenvedett károsodás, aminek okozati összefüggésben kell lennie az Eütv.-ben a kártalanítás feltételeként meghatározott közérdekű tevékenységgel, illetve az átültetési célt szolgáló szerv, szövet, vér adományozásával. Az előre nem látható, el nem hárítható károkért és a kockázatokért az állam helytáll. Megállapítunk szerint a véradás esetében, és a szerv-, szövet adományozás esetében is ez az eset állapítható meg.</w:t>
      </w:r>
    </w:p>
    <w:p>
      <w:pPr>
        <w:pBdr/>
        <w:spacing w:before="240" w:after="240" w:line="240" w:lineRule="auto"/>
        <w:ind w:left="0" w:right="0"/>
        <w:jc w:val="left"/>
      </w:pPr>
      <w:r>
        <w:rPr>
          <w:color w:val="000000"/>
          <w:sz w:val="24"/>
          <w:szCs w:val="24"/>
        </w:rPr>
        <w:t xml:space="preserve">Dolgozatunk záró része azt a jogi problémát fejtegeti, hogy abban az esetben, ha egy HIV pozitív fogvatartottal szemben jogos korlátozásokat alkalmaznak egészséges társai testi épségét, egészségét, mint személyhez fűződő jogait figyelmebe véve, hogyan érvényesülnek a fertőzött elítélt személyiségi jogai, betegjogai azok mennyiben korlátozhatók. Előfordulhat ugyanis, hogy egyébként, formailag jogos korlátozások, intézkedések végrehajtása közben számos jogsértést következik be. Kutatásunkban arra az eredményre jutottunk, hogy ez esetben, az állam egészségvédelmi, egészség-meggőrzési érdeke előnyt élvez a fogvatartott személyhez fűződő jogaival szemben, és ez alapján a szükséges és arányos mértékben, engedi az elítélt egyes jogainak korlátozását.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65946">
    <w:multiLevelType w:val="hybridMultilevel"/>
    <w:lvl w:ilvl="0" w:tplc="30167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65946">
    <w:abstractNumId w:val="345659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118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