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LEA PŐDÖR</w:t>
            </w:r>
          </w:p>
          <w:p w:rsidR="00C275A3" w:rsidRDefault="00A96AEC" w:rsidP="00C275A3">
            <w:pPr>
              <w:pStyle w:val="Hallgatokepzes"/>
            </w:pPr>
            <w:r>
              <w:t/>
            </w:r>
            <w:r>
              <w:br/>
            </w:r>
            <w:r w:rsidR="00E77B23">
              <w:t>Unified, 3.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Barna</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Dissolutio vinculi in the practice of judgement of the Episcopal See’s Tribunal in Győr between 1918 and 1945</w:t>
      </w:r>
    </w:p>
    <w:p w:rsidR="00D71DF5" w:rsidRDefault="00D71DF5" w:rsidP="00AD2602">
      <w:pPr>
        <w:jc w:val="both"/>
      </w:pPr>
    </w:p>
    <w:p>
      <w:pPr>
        <w:pBdr/>
        <w:spacing w:before="240" w:after="240" w:line="240" w:lineRule="auto"/>
        <w:ind w:left="0" w:right="0"/>
        <w:jc w:val="left"/>
      </w:pPr>
      <w:r>
        <w:rPr>
          <w:color w:val="000000"/>
          <w:sz w:val="24"/>
          <w:szCs w:val="24"/>
        </w:rPr>
        <w:t xml:space="preserve">The Roman Catholic Church and its spirituality played a very significant role in the Hungarian legal history. In the 19th century the Church lost the last institution which was controlled without any state influence: marriage. But the Act 31 of 1894 about civil marriage was not the end of the spirituality’s history.</w:t>
      </w:r>
      <w:r>
        <w:rPr>
          <w:color w:val="000000"/>
          <w:sz w:val="24"/>
          <w:szCs w:val="24"/>
        </w:rPr>
        <w:br/>
        <w:t xml:space="preserve">The essay introduces a segment of the spirituality’s past through the practice of judgement of the Episcopal See’s Tribunal in Győr between 1918 and 1945. I did research on matrimonial causes in Diocesional Archives in Győr. I would like to answer the following question: How does the Corpus Iuris Canonici (1917) expresses an opinion about dissolubility of marriage in a time when this institution was admittedly secularized?</w:t>
      </w:r>
      <w:r>
        <w:rPr>
          <w:color w:val="000000"/>
          <w:sz w:val="24"/>
          <w:szCs w:val="24"/>
        </w:rPr>
        <w:br/>
        <w:t xml:space="preserve">To find the answer, I examine the place of marriage in the competence of Church and state and then I explain the importance of the first and universal canonical Codex. Afterwards I introduce the matrimonial causes (separatio and dissolutio vinculi) through cases from the archives material. In the canonical judicial practice there are some really special phenomena such as the solicitor for the poor, the conciliation of the litigants, the certificate of credibility, and the problems about legal titling.</w:t>
      </w:r>
      <w:r>
        <w:rPr>
          <w:color w:val="000000"/>
          <w:sz w:val="24"/>
          <w:szCs w:val="24"/>
        </w:rPr>
        <w:br/>
        <w:t xml:space="preserve">The records of the examined lawsuits help a lot to establish the answer. The Holy See does not recognize the dissolubility of marriage but on rare occasions can pronounce freedom and allow separation. The law and order created for the spiritual marriage is an internal affair of the Church which strictly obligates every parishioner. Whether take an opportunity to use the jurisdiction of the Holy See, or to try to make the marriage life more peaceful, is rather a moral question. Decision in this situation lays on the conscience of the litigants who know that marriage is an indissoluble vinculum.</w:t>
      </w:r>
      <w:r>
        <w:rPr>
          <w:color w:val="000000"/>
          <w:sz w:val="24"/>
          <w:szCs w:val="24"/>
        </w:rPr>
        <w:br/>
        <w:t xml:space="preserve">The records of law suits I worked with have never been explored before. I have to mention that this era (1918-1945) is peculiar as this was the first time when people met double regulation in connection with marriage. They had to turn to the civil court and to the Holy See as well, if they wanted to divorce; but the procedure was more difficult and more complex in the canonical law.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43594">
    <w:multiLevelType w:val="hybridMultilevel"/>
    <w:lvl w:ilvl="0" w:tplc="54994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43594">
    <w:abstractNumId w:val="21543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64861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