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PŐDÖR LEA</w:t>
            </w:r>
          </w:p>
          <w:p w:rsidR="00C275A3" w:rsidRDefault="00A96AEC" w:rsidP="00C275A3">
            <w:pPr>
              <w:pStyle w:val="Hallgatokepzes"/>
            </w:pPr>
            <w:r>
              <w:t>jogász</w:t>
            </w:r>
            <w:r>
              <w:br/>
            </w:r>
            <w:r w:rsidR="00E77B23">
              <w:t>Osztatlan, 3.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Attila</w:t>
            </w:r>
          </w:p>
          <w:p w:rsidR="00DB4822" w:rsidRDefault="00DB4822" w:rsidP="00E11062">
            <w:pPr>
              <w:pStyle w:val="Konzulensek"/>
            </w:pPr>
            <w:r w:rsidRPr="00DB4822">
              <w:t>egyetemi docens,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Köteléki perek a Győri Egyházmegyei Szentszéki Bíróság ítélkezési gyakorlatában 1918 és 1945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jogtörténetben vitathatatlanul fontos szerepet játszott az egyház és az egyházi bíráskodás. Hazánkban a 19. században veszítette el az egyház azt az utolsó területet, melynek alakulását állami befolyás és állami törvénykezés nélkül tudta szabályozni: a házasságot. Az 1895-ben hatályba lépett állami házasságról szóló törvény bevezetése azonban nem jelentette azt, hogy az egyházi bíráskodás története 1895-ben befejeződött volna Magyarországon.</w:t>
      </w:r>
      <w:r>
        <w:rPr>
          <w:color w:val="000000"/>
          <w:sz w:val="24"/>
          <w:szCs w:val="24"/>
        </w:rPr>
        <w:br/>
        <w:t xml:space="preserve">A dolgozat a szentszéki bíráskodás múltjának egy apró részét igyekszik feldolgozni a Győri Egyházmegyei Szentszéki Bíróság ítélkezési gyakorlatán keresztül az 1918-1945 közötti időszakban. A levéltári kutatómunka során arra a kérdésre kerestem választ, hogy hogyan vélekedik a házasság felbonthatóságáról az 1917-es Egyházi Törvénykönyv abban a korszakban, amikor már a házasság egyértelműen szekularizált jogintézménnyé vált.</w:t>
      </w:r>
      <w:r>
        <w:rPr>
          <w:color w:val="000000"/>
          <w:sz w:val="24"/>
          <w:szCs w:val="24"/>
        </w:rPr>
        <w:br/>
        <w:t xml:space="preserve">E kérdés megválaszolása érdekében először a házasság mint jogintézmény helyének alakulását vázolom fel az állam és az egyház hatáskörében, majd pedig bemutatom az első egyházi Corpus elkészítésének folyamatát. Ezután következik a köteléki perek és az ágytól és asztaltól való elválasztás vizsgálata számos jogeset segítségével. A kánoni perben történő percselekményekre fűzöm rá a gyakorlatban tapasztalt sajátos jelenségeket is, úgy, mint a percímek megfogalmazásával kapcsolatos problémákat, a felek békéltetését, a szavahihetőségi bizonylat kiállítását, vagy éppen a szegények ügyvédjének perbeli szerepét.</w:t>
      </w:r>
      <w:r>
        <w:rPr>
          <w:color w:val="000000"/>
          <w:sz w:val="24"/>
          <w:szCs w:val="24"/>
        </w:rPr>
        <w:br/>
        <w:t xml:space="preserve">A vizsgált peranyag segítségével világos válasz adható a dolgozatban feltett kérdésre. A Szentszék nem ismeri el a házasság felbontását, ugyanakkor bizonyos keretek között szabad állapotúvá nyilváníthatja a feleket, vagy engedélyezheti különélésüket. Az egyházi házasságra felállított jogrend az egyház belső ügyének tekintendő, mely minden esetben köti az egyháztagot. Az azonban, hogy az egyháztag él-e az egyház által a vitás házassági ügyet érintő jurisdictiójával, avagy megpróbál békét és szeretetet teremteni házassági életközösségében, inkább erkölcsi kérdésként fogható fel. Ennek eldöntése az érintettek lelkiismeretén nyugszik, akik tudják, hogy az egyház tanításának megfelelően a házasság eleve felbonthatatlan kötelék.</w:t>
      </w:r>
      <w:r>
        <w:rPr>
          <w:color w:val="000000"/>
          <w:sz w:val="24"/>
          <w:szCs w:val="24"/>
        </w:rPr>
        <w:br/>
        <w:t xml:space="preserve">A gyakorlat szülte jelenségek és a levont következtetések nagyban segítik a kánoni eljárásjog megismerését, megértését. További jellegzetesség maga a vizsgált időszak, amikor is az egyén először találta szembe magát az említett kérdés megoldásának problémájával.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52904">
    <w:multiLevelType w:val="hybridMultilevel"/>
    <w:lvl w:ilvl="0" w:tplc="6151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52904">
    <w:abstractNumId w:val="91952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473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