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FARKAS</w:t>
            </w:r>
          </w:p>
          <w:p w:rsidR="00C275A3" w:rsidRDefault="00A96AEC" w:rsidP="00C275A3">
            <w:pPr>
              <w:pStyle w:val="Hallgatokepzes"/>
            </w:pPr>
            <w:r>
              <w:t>Business Administration and Management</w:t>
            </w:r>
            <w:r>
              <w:br/>
            </w:r>
            <w:r w:rsidR="00E77B23">
              <w:t>BSc, 3.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Valéria Limpók, PhD</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Hungary's Energy Outlook Regarding the National Action Plan and the National Energy Strategy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p>
    <w:p>
      <w:pPr>
        <w:pBdr/>
        <w:spacing w:before="240" w:after="240" w:line="240" w:lineRule="auto"/>
        <w:ind w:left="0" w:right="0"/>
        <w:jc w:val="left"/>
      </w:pPr>
      <w:r>
        <w:rPr>
          <w:color w:val="000000"/>
          <w:sz w:val="24"/>
          <w:szCs w:val="24"/>
        </w:rPr>
        <w:t xml:space="preserve"> In my dissertation I examined the prospects of the Hungarian energy-supply in consideration of the National Action Plan and the National Energy Strategy. I analysed one by one the thesis of the latter documents, whether they are true or not. In my opinion, we should rethink the conflicting details. However the purpose of the creation of the documents should be welcomed.</w:t>
      </w:r>
      <w:r>
        <w:rPr>
          <w:color w:val="000000"/>
          <w:sz w:val="24"/>
          <w:szCs w:val="24"/>
        </w:rPr>
        <w:br/>
        <w:t xml:space="preserve"> I did a primary research, how well the Hungarian people know the opportunities of the renewable energy sources’ utilization. In addition I made interviews, and had conversations personally with lecturers as well as leaders of several companies, because I wondered ehat are their opinions about Hungarian situation, what they predict when the renewable energy using systems could be popular and used in Hungary. I have delivered some lectures on my topic and I am going to give information about the experiences that I gained there.</w:t>
      </w:r>
      <w:r>
        <w:rPr>
          <w:color w:val="000000"/>
          <w:sz w:val="24"/>
          <w:szCs w:val="24"/>
        </w:rPr>
        <w:br/>
        <w:t xml:space="preserve"> Finally, I calculated how large territory of the Northern Transdanubian region could be supplied with wind and water power in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38849">
    <w:multiLevelType w:val="hybridMultilevel"/>
    <w:lvl w:ilvl="0" w:tplc="36359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38849">
    <w:abstractNumId w:val="59338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3182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