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KOSÁR</w:t>
            </w:r>
          </w:p>
          <w:p w:rsidR="00C275A3" w:rsidRDefault="00A96AEC" w:rsidP="00C275A3">
            <w:pPr>
              <w:pStyle w:val="Hallgatokepzes"/>
            </w:pPr>
            <w:r>
              <w:t>Commerce and marketing</w:t>
            </w:r>
            <w:r>
              <w:br/>
            </w:r>
            <w:r w:rsidR="00E77B23">
              <w:t>BSc, 5.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BARBARA TÓTH</w:t>
            </w:r>
          </w:p>
          <w:p w:rsidR="00DB4822" w:rsidRDefault="00C275A3" w:rsidP="004D7940">
            <w:pPr>
              <w:pStyle w:val="Hallgatokepzes"/>
            </w:pPr>
            <w:r>
              <w:t>Commerce and marketing</w:t>
            </w:r>
            <w:r w:rsidR="00A96AEC">
              <w:br/>
              <w:t>BSc, 5.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Economics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Makkos-Káldi, Judit PhD.</w:t>
            </w:r>
          </w:p>
          <w:p w:rsidR="00DB4822" w:rsidRDefault="00DB4822" w:rsidP="00E11062">
            <w:pPr>
              <w:pStyle w:val="Konzulensek"/>
            </w:pPr>
            <w:r w:rsidRPr="00DB4822">
              <w:t>assistant professor, SZE GK</w:t>
            </w:r>
          </w:p>
        </w:tc>
      </w:tr>
      <w:tr w:rsidR="00DB4822" w:rsidTr="00DB4822">
        <w:tc>
          <w:tcPr>
            <w:tcW w:w="9854" w:type="dxa"/>
          </w:tcPr>
          <w:p w:rsidR="00DB4822" w:rsidRPr="00DB4822" w:rsidRDefault="00DB4822" w:rsidP="004D7940">
            <w:pPr>
              <w:pStyle w:val="Konzulensek"/>
            </w:pPr>
            <w:r w:rsidRPr="00DB4822">
              <w:t>Huszka, Peter Dr.</w:t>
            </w:r>
          </w:p>
          <w:p w:rsidR="00DB4822" w:rsidRDefault="00DB4822" w:rsidP="00E11062">
            <w:pPr>
              <w:pStyle w:val="Konzulensek"/>
            </w:pPr>
            <w:r w:rsidRPr="00DB4822">
              <w:t>associate professor, SZE GK</w:t>
            </w:r>
          </w:p>
        </w:tc>
      </w:tr>
      <w:tr w:rsidR="00DB4822" w:rsidTr="00DB4822">
        <w:tc>
          <w:tcPr>
            <w:tcW w:w="9854" w:type="dxa"/>
          </w:tcPr>
          <w:p w:rsidR="00DB4822" w:rsidRPr="00DB4822" w:rsidRDefault="00DB4822" w:rsidP="004D7940">
            <w:pPr>
              <w:pStyle w:val="Konzulensek"/>
            </w:pPr>
            <w:r w:rsidRPr="00DB4822">
              <w:t>Platz Petra</w:t>
            </w:r>
          </w:p>
          <w:p w:rsidR="00DB4822" w:rsidRDefault="00DB4822" w:rsidP="00E11062">
            <w:pPr>
              <w:pStyle w:val="Konzulensek"/>
            </w:pPr>
            <w:r w:rsidRPr="00DB4822">
              <w:t>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Saving traditions in Hungary – Hacacáré Festival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we executed a brand-new Hungarian music festival which focuses on the traditions. Its specialty is that all the performers, so as all the suppliers are Hungarians, just like all the stakeholders of the festival deal with Hungarian products, and solely with inland service providers will be cooperated with. The plan of this festival is part of a nominal project, so this paper can be considered as a feasibility study and action plan.</w:t>
      </w:r>
      <w:r>
        <w:rPr>
          <w:color w:val="000000"/>
          <w:sz w:val="24"/>
          <w:szCs w:val="24"/>
        </w:rPr>
        <w:br/>
        <w:t xml:space="preserve">The goal of the study is to create a detailed plan of a yet non-existing festival, and to discover the available partners. Parallel with this we conducted a primary research. The survey was about to examine the attitude and wishes of the potential audience.</w:t>
      </w:r>
      <w:r>
        <w:rPr>
          <w:color w:val="000000"/>
          <w:sz w:val="24"/>
          <w:szCs w:val="24"/>
        </w:rPr>
        <w:br/>
        <w:t xml:space="preserve">The theory summarizes the national and international literature regarding event mar-keting and management, in which we emphasized the HIPI theorem and the 7Ps. We high-lighted the capacity – and the payment management. We conducted background analyses in order to enable to draw up the technical parts well.</w:t>
      </w:r>
      <w:r>
        <w:rPr>
          <w:color w:val="000000"/>
          <w:sz w:val="24"/>
          <w:szCs w:val="24"/>
        </w:rPr>
        <w:br/>
        <w:t xml:space="preserve">The practical elements consist of several statements. These conclusions are the results of the quantitative survey which gauged the festival visiting habits. The festival with its schedule, the offers of the suppliers and the promotion campaign is also developed in this pa-per.</w:t>
      </w:r>
      <w:r>
        <w:rPr>
          <w:color w:val="000000"/>
          <w:sz w:val="24"/>
          <w:szCs w:val="24"/>
        </w:rPr>
        <w:br/>
        <w:t xml:space="preserve">The cost plan at the end of the study shows the calculations about expenditures and the estimated revenues.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98133">
    <w:multiLevelType w:val="hybridMultilevel"/>
    <w:lvl w:ilvl="0" w:tplc="25976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98133">
    <w:abstractNumId w:val="558981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77503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