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ZÉNÓ DÖMÖTÖR</w:t>
            </w:r>
          </w:p>
          <w:p w:rsidR="00C275A3" w:rsidRDefault="00A96AEC" w:rsidP="00C275A3">
            <w:pPr>
              <w:pStyle w:val="Hallgatokepzes"/>
            </w:pPr>
            <w:r>
              <w:t>Electrical Engineering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Engineering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 Torda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Lóránt Kovács</w:t>
            </w:r>
          </w:p>
          <w:p w:rsidR="00DB4822" w:rsidRDefault="00DB4822" w:rsidP="00E11062">
            <w:pPr>
              <w:pStyle w:val="Konzulensek"/>
            </w:pPr>
            <w:r w:rsidRPr="00DB4822">
              <w:t>college associate professor,vice dean (external consultant),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Impulse Response Measurementing with MLS Method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Nowadays, one of the most frequent engineering task is system identification: defining system feature functions (models), which describe unknown systems.</w:t>
      </w:r>
      <w:r>
        <w:rPr>
          <w:color w:val="000000"/>
          <w:sz w:val="24"/>
          <w:szCs w:val="24"/>
        </w:rPr>
        <w:br/>
        <w:t xml:space="preserve">The importance of system identification comes from the fact that the function in question is possibly too complex for accurate physical description, or its behaviour changes frequently (adaptive systems).</w:t>
      </w:r>
      <w:r>
        <w:rPr>
          <w:color w:val="000000"/>
          <w:sz w:val="24"/>
          <w:szCs w:val="24"/>
        </w:rPr>
        <w:br/>
        <w:t xml:space="preserve">In general description of a system can be done in time domain and frequency domain. Of course, this duality can be observed in the field of system identification too.</w:t>
      </w:r>
      <w:r>
        <w:rPr>
          <w:color w:val="000000"/>
          <w:sz w:val="24"/>
          <w:szCs w:val="24"/>
        </w:rPr>
        <w:br/>
        <w:t xml:space="preserve">The purpose of the time domain system identification is to determine the impulse response function, whereas the purpose of the frequency domain methods is to determine the pole-zero configuration.</w:t>
      </w:r>
      <w:r>
        <w:rPr>
          <w:color w:val="000000"/>
          <w:sz w:val="24"/>
          <w:szCs w:val="24"/>
        </w:rPr>
        <w:br/>
        <w:t xml:space="preserve">The aim of this paper is to describe the developement of a network analyzer equipment with outstanding properties which performs system identification. The goals where to reach a reasonable signal-to-noise ratio of the single-channel measurements and rapid, real-time operation.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41859">
    <w:multiLevelType w:val="hybridMultilevel"/>
    <w:lvl w:ilvl="0" w:tplc="43732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41859">
    <w:abstractNumId w:val="721418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221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