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R. REPAS</w:t>
            </w:r>
          </w:p>
          <w:p w:rsidR="00C275A3" w:rsidRDefault="00A96AEC" w:rsidP="00C275A3">
            <w:pPr>
              <w:pStyle w:val="Hallgatokepzes"/>
            </w:pPr>
            <w:r>
              <w:t>Electrical Engineering</w:t>
            </w:r>
            <w:r>
              <w:br/>
            </w:r>
            <w:r w:rsidR="00E77B23">
              <w:t>MSc, 3.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Lencse</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Stability and performance analysis of different DNS64 and NAT64 implementations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Due to the very fast spread of Internet usage the IPv4 addressing technology is not able to provide public IP address to each and every device on the network. Number of free IPv4 addresses are decreasing continuously despite many slowing techniques (e.g.: NAT, PA Assignment) and strict IP address assignment.</w:t>
      </w:r>
    </w:p>
    <w:p>
      <w:pPr>
        <w:pBdr/>
        <w:spacing w:before="240" w:after="240" w:line="240" w:lineRule="auto"/>
        <w:ind w:left="0" w:right="0"/>
        <w:jc w:val="left"/>
      </w:pPr>
      <w:r>
        <w:rPr>
          <w:color w:val="000000"/>
          <w:sz w:val="24"/>
          <w:szCs w:val="24"/>
        </w:rPr>
        <w:t xml:space="preserve">IPv6 - new addressing technology - was already declared by RFC 2460 in 1998 but transition from IPv4 to IPv6 was not in focus until recent past. IPv6 works with 128 bit addressing solution comparing to IPv4 32 bit technology. New technology gives long term answer to all IP addressing questions, although transition costs are rather high either device or working hour side. Therefore, most companies postpone transition but it cannot be delayed. ISPs are key participants during the process and my analysis could supply easy and low-cost transition solutions for them.</w:t>
      </w:r>
    </w:p>
    <w:p>
      <w:pPr>
        <w:pBdr/>
        <w:spacing w:before="240" w:after="240" w:line="240" w:lineRule="auto"/>
        <w:ind w:left="0" w:right="0"/>
        <w:jc w:val="left"/>
      </w:pPr>
      <w:r>
        <w:rPr>
          <w:color w:val="000000"/>
          <w:sz w:val="24"/>
          <w:szCs w:val="24"/>
        </w:rPr>
        <w:t xml:space="preserve">I studied professional literature, presented most important transition techniques and tested all in a virtualized environment. I realized DNS64/NAT64 is the most useful hence prepared a complete stability and performance analysis of it simulating real IT conditions. Hopefully my analysis gives assistance to network experts in order to find best transition solution and help to accelerate IPv6 transition.</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46646">
    <w:multiLevelType w:val="hybridMultilevel"/>
    <w:lvl w:ilvl="0" w:tplc="14885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46646">
    <w:abstractNumId w:val="851466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558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