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PAPP</w:t>
            </w:r>
          </w:p>
          <w:p w:rsidR="00C275A3" w:rsidRDefault="00A96AEC" w:rsidP="00C275A3">
            <w:pPr>
              <w:pStyle w:val="Hallgatokepzes"/>
            </w:pPr>
            <w:r>
              <w:t>Transportation Engineering</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Zvikli</w:t>
            </w:r>
          </w:p>
          <w:p w:rsidR="00DB4822" w:rsidRDefault="00DB4822" w:rsidP="00E11062">
            <w:pPr>
              <w:pStyle w:val="Konzulensek"/>
            </w:pPr>
            <w:r w:rsidRPr="00DB4822">
              <w:t>college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Trolley-Bus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Looking the Hungarian examples of the transport development,a traditional thinking is discoverable. The connection of the novel elements and classic modes of transport is not typical yet. In my essay I analyse the city of Szeged, where intead of the bus transportation I would prefer the transportation with self propelled trollies. On one hand this is environmentally sound and on the other hand it allows more economic operation. To follow the principle of the sustainable development, it could be a really significant result if we connect the traditional trolleybus system with novel vehicles. The lifetime of the trolleis are much bigger, than the buses', because the electric energie can be prepared from almost anything, so that is why this accomplishment was obvious. Over some point the system could be self-pereserved and it would only require a little amount of energie input. That is why I found the effect of this project so important.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31865">
    <w:multiLevelType w:val="hybridMultilevel"/>
    <w:lvl w:ilvl="0" w:tplc="39642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31865">
    <w:abstractNumId w:val="89331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851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