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TÁLOS VIVIEN</w:t>
            </w:r>
          </w:p>
          <w:p w:rsidR="00C275A3" w:rsidRDefault="00A96AEC" w:rsidP="00C275A3">
            <w:pPr>
              <w:pStyle w:val="Hallgatokepzes"/>
            </w:pPr>
            <w:r>
              <w:t>Előadóművészet - klasszikus zongora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Várayné Szűts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Schubert-Liszt: Der Müller und der Bach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Előadásomat Schubert-Liszt Der Müller und der Bach című darabjáról tartom. </w:t>
      </w:r>
      <w:r>
        <w:rPr>
          <w:color w:val="000000"/>
          <w:sz w:val="24"/>
          <w:szCs w:val="24"/>
        </w:rPr>
        <w:br/>
        <w:t xml:space="preserve">Ezen Liszt művet az azonos című Schubert-dal ihlette, így a dolgozat tartalmazza az alapul szolgáló melódia taglalását (annak szövegéről - azaz Wilhelm Müller költeményéről - is szót ejtek, idézetekkel teletűzdelve), valamint összehasonlító elemzés formájában a szóban forgó Liszt-műét is. A bemutatót színesítem zenés példákkal, kottaszemelvények vetítésével, és a mű részletes elemzése után megszólaltatom azt teljes egészében.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11386">
    <w:multiLevelType w:val="hybridMultilevel"/>
    <w:lvl w:ilvl="0" w:tplc="71701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11386">
    <w:abstractNumId w:val="96411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468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