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KLEMM</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Anita Paulovics</w:t>
            </w:r>
          </w:p>
          <w:p w:rsidR="00DB4822" w:rsidRDefault="00DB4822" w:rsidP="00E11062">
            <w:pPr>
              <w:pStyle w:val="Konzulensek"/>
            </w:pPr>
            <w:r w:rsidRPr="00DB4822">
              <w:t>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principle of the effective legal remedy in the constitutional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Fundamental Law of Hungary declares the right to legal remedy: „Every person shall have the right to seek legal remedy against any court, administrative or other official decision which violates his or her rights or lawful interests.”</w:t>
      </w:r>
      <w:r>
        <w:rPr>
          <w:color w:val="000000"/>
          <w:sz w:val="24"/>
          <w:szCs w:val="24"/>
        </w:rPr>
        <w:br/>
        <w:t xml:space="preserve">In my paper, I study how the effectiveness of the legal remedy prevails in constitutional law. Thus given the legal remedy if it cannot remedy the encroachment on the rights of someone. A legal remedy can be effective if under given circumstances, reasoning and proof the legal sitation can be altered.</w:t>
      </w:r>
      <w:r>
        <w:rPr>
          <w:color w:val="000000"/>
          <w:sz w:val="24"/>
          <w:szCs w:val="24"/>
        </w:rPr>
        <w:br/>
        <w:t xml:space="preserve">The right to legal remedy as a fundamental right must be mentioned. The Hungarian Constitutional Court dealt with the questions occured about this fundamental right in its plenary sessions. The right to legal remedy occours in basic laws of other continental countries, so it does in conventions too. The clarification of the theoretical questions about the right to legal remedy is essential.</w:t>
      </w:r>
      <w:r>
        <w:rPr>
          <w:color w:val="000000"/>
          <w:sz w:val="24"/>
          <w:szCs w:val="24"/>
        </w:rPr>
        <w:br/>
        <w:t xml:space="preserve">I have put the emphasis on the theoretical and practical questions about the effective legal remedy, I studies several Hungarian cases about the topic.</w:t>
      </w:r>
      <w:r>
        <w:rPr>
          <w:color w:val="000000"/>
          <w:sz w:val="24"/>
          <w:szCs w:val="24"/>
        </w:rPr>
        <w:br/>
        <w:t xml:space="preserve">I want to construe the mentioned problems in my paper, and offer proposals as a result.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52840">
    <w:multiLevelType w:val="hybridMultilevel"/>
    <w:lvl w:ilvl="0" w:tplc="67709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52840">
    <w:abstractNumId w:val="748528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08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