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POHUBI</w:t>
            </w:r>
          </w:p>
          <w:p w:rsidR="00C275A3" w:rsidRDefault="00A96AEC" w:rsidP="00C275A3">
            <w:pPr>
              <w:pStyle w:val="Hallgatokepzes"/>
            </w:pPr>
            <w:r>
              <w:t>faculty of law</w:t>
            </w:r>
            <w:r>
              <w:br/>
            </w:r>
            <w:r w:rsidR="00E77B23">
              <w:t>Unified, 7.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Anita Paulovics </w:t>
            </w:r>
          </w:p>
          <w:p w:rsidR="00DB4822" w:rsidRDefault="00DB4822" w:rsidP="00E11062">
            <w:pPr>
              <w:pStyle w:val="Konzulensek"/>
            </w:pPr>
            <w:r w:rsidRPr="00DB4822">
              <w:t>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Vested Rights in  the practice of the Constitutional Court</w:t>
      </w:r>
    </w:p>
    <w:p w:rsidR="00D71DF5" w:rsidRDefault="00D71DF5" w:rsidP="00AD2602">
      <w:pPr>
        <w:jc w:val="both"/>
      </w:pPr>
    </w:p>
    <w:p>
      <w:pPr>
        <w:pBdr/>
        <w:spacing w:before="240" w:after="240" w:line="240" w:lineRule="auto"/>
        <w:ind w:left="0" w:right="0"/>
        <w:jc w:val="left"/>
      </w:pPr>
      <w:r>
        <w:rPr>
          <w:color w:val="000000"/>
          <w:sz w:val="24"/>
          <w:szCs w:val="24"/>
        </w:rPr>
        <w:t xml:space="preserve">The purpose of my dissertation is the presentation of one of the elements of the legal certainty, which is the vested interests and the regulation of one of the possible modes of drafting. The significance of the topic is that the defence of the vested rights doesn't have a part in the basic law specifically, nevertheless it is in connection with significant basic rights, like the right of profession or the right of social security. During the elaboration of the topic the lack of the related literature caused difficulties, so I especially lean on journals, foreign bibliography and the regulation of the constitutional court. I supplemented it with my own thoughts and regulation of recommendation, documented with foreign examples.</w:t>
      </w:r>
    </w:p>
    <w:p>
      <w:pPr>
        <w:pBdr/>
        <w:spacing w:before="240" w:after="240" w:line="240" w:lineRule="auto"/>
        <w:ind w:left="0" w:right="0"/>
        <w:jc w:val="left"/>
      </w:pPr>
      <w:r>
        <w:rPr>
          <w:color w:val="000000"/>
          <w:sz w:val="24"/>
          <w:szCs w:val="24"/>
        </w:rPr>
        <w:t xml:space="preserve">Firstly, I found it important to emphasize the significance of the topic in an international overview. After all analysing the rule of law in connection with vested rights. I aim at making it more expressive with a figure. After it I introduce the short story of the Hungarian vested rights.</w:t>
      </w:r>
    </w:p>
    <w:p>
      <w:pPr>
        <w:pBdr/>
        <w:spacing w:before="240" w:after="240" w:line="240" w:lineRule="auto"/>
        <w:ind w:left="0" w:right="0"/>
        <w:jc w:val="left"/>
      </w:pPr>
      <w:r>
        <w:rPr>
          <w:color w:val="000000"/>
          <w:sz w:val="24"/>
          <w:szCs w:val="24"/>
        </w:rPr>
        <w:t xml:space="preserve">Afterwards, I divided the resolution of constitutional court into 3 main groups, after it into other 3-3 sub branches and with it I tried to explain the characteristics of vested rights. (social security: family support, system of pension, social security contribution; the right of profession: sphere labour relations, questions under the effect of the Labour Code, contributions, earnings, taxes, exceptions.)</w:t>
      </w:r>
    </w:p>
    <w:p>
      <w:pPr>
        <w:pBdr/>
        <w:spacing w:before="240" w:after="240" w:line="240" w:lineRule="auto"/>
        <w:ind w:left="0" w:right="0"/>
        <w:jc w:val="left"/>
      </w:pPr>
      <w:r>
        <w:rPr>
          <w:color w:val="000000"/>
          <w:sz w:val="24"/>
          <w:szCs w:val="24"/>
        </w:rPr>
        <w:t xml:space="preserve">I took these into consideration and I tried to explain and define the concept of vested rights, because such a concept isn't mentioned by the literature and the Constitutional Court practice. I found it important to introduce the relations of vested rights and the right of property, as well as with the appeal of the prosecutor and contrasting the reversion in connection with vested rights with the reversion of civil law.</w:t>
      </w:r>
    </w:p>
    <w:p>
      <w:pPr>
        <w:pBdr/>
        <w:spacing w:before="240" w:after="240" w:line="240" w:lineRule="auto"/>
        <w:ind w:left="0" w:right="0"/>
        <w:jc w:val="left"/>
      </w:pPr>
      <w:r>
        <w:rPr>
          <w:color w:val="000000"/>
          <w:sz w:val="24"/>
          <w:szCs w:val="24"/>
        </w:rPr>
        <w:t xml:space="preserve">In the penultimate chapter of my dissertation I introduce the terminology of the regulation of vested rights, which is made by me. ( constitutional and civil law barriers)</w:t>
      </w:r>
    </w:p>
    <w:p>
      <w:pPr>
        <w:pBdr/>
        <w:spacing w:before="240" w:after="240" w:line="240" w:lineRule="auto"/>
        <w:ind w:left="0" w:right="0"/>
        <w:jc w:val="left"/>
      </w:pPr>
      <w:r>
        <w:rPr>
          <w:color w:val="000000"/>
          <w:sz w:val="24"/>
          <w:szCs w:val="24"/>
        </w:rPr>
        <w:t xml:space="preserve">Finally, because of the suggestion of „de lege feranda” I worked out a regulative conception for the legislator.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198371">
    <w:multiLevelType w:val="hybridMultilevel"/>
    <w:lvl w:ilvl="0" w:tplc="163595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198371">
    <w:abstractNumId w:val="751983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26356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